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rPr>
          <w:rFonts w:hint="default" w:ascii="Arial" w:hAnsi="Arial" w:cs="Arial"/>
          <w:b/>
          <w:sz w:val="24"/>
          <w:szCs w:val="24"/>
          <w:lang w:val="en-US" w:eastAsia="ja-JP"/>
        </w:rPr>
      </w:pPr>
      <w:bookmarkStart w:id="0" w:name="_Hlt450066087"/>
      <w:bookmarkEnd w:id="0"/>
      <w:bookmarkStart w:id="1" w:name="_Hlt450051172"/>
      <w:bookmarkEnd w:id="1"/>
      <w:bookmarkStart w:id="2" w:name="_Hlt448930105"/>
      <w:bookmarkEnd w:id="2"/>
      <w:bookmarkStart w:id="3" w:name="_Hlt449016246"/>
      <w:bookmarkEnd w:id="3"/>
      <w:bookmarkStart w:id="4" w:name="_Hlt450039480"/>
      <w:bookmarkEnd w:id="4"/>
      <w:bookmarkStart w:id="5" w:name="_Hlt450066085"/>
      <w:bookmarkEnd w:id="5"/>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0608</w:t>
      </w:r>
      <w:bookmarkStart w:id="8" w:name="_GoBack"/>
      <w:bookmarkEnd w:id="8"/>
    </w:p>
    <w:p>
      <w:pPr>
        <w:rPr>
          <w:rFonts w:ascii="Arial" w:hAnsi="Arial" w:cs="Arial"/>
          <w:b/>
          <w:sz w:val="24"/>
          <w:szCs w:val="24"/>
          <w:lang w:eastAsia="zh-CN"/>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6"/>
      <w:bookmarkEnd w:id="7"/>
      <w:r>
        <w:rPr>
          <w:rStyle w:val="60"/>
          <w:rFonts w:hint="eastAsia"/>
          <w:b/>
          <w:highlight w:val="none"/>
          <w:lang w:val="en-US" w:eastAsia="zh-CN"/>
        </w:rPr>
        <w:t xml:space="preserve"> system parameters for NR NTN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7.11.3</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106</w:t>
      </w:r>
      <w:r>
        <w:rPr>
          <w:rFonts w:hint="default"/>
          <w:i w:val="0"/>
          <w:iCs w:val="0"/>
          <w:sz w:val="20"/>
          <w:szCs w:val="20"/>
          <w:lang w:val="en-US" w:eastAsia="zh-CN"/>
        </w:rPr>
        <w:t xml:space="preserve"> meeting, a</w:t>
      </w:r>
      <w:r>
        <w:rPr>
          <w:rFonts w:hint="eastAsia"/>
          <w:i w:val="0"/>
          <w:iCs w:val="0"/>
          <w:sz w:val="20"/>
          <w:szCs w:val="20"/>
          <w:lang w:val="en-US" w:eastAsia="zh-CN"/>
        </w:rPr>
        <w:t xml:space="preserve"> revised</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Ku Band</w:t>
      </w:r>
      <w:r>
        <w:rPr>
          <w:rFonts w:hint="default"/>
          <w:i w:val="0"/>
          <w:iCs w:val="0"/>
          <w:sz w:val="20"/>
          <w:szCs w:val="20"/>
          <w:lang w:val="en-US" w:eastAsia="zh-CN"/>
        </w:rPr>
        <w:t xml:space="preserve"> for NR NTN</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w:t>
      </w:r>
      <w:r>
        <w:rPr>
          <w:rFonts w:hint="eastAsia"/>
          <w:i w:val="0"/>
          <w:iCs w:val="0"/>
          <w:sz w:val="20"/>
          <w:szCs w:val="20"/>
          <w:lang w:val="en-US" w:eastAsia="zh-CN"/>
        </w:rPr>
        <w:t xml:space="preserve"> 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NR NTN Ku band </w:t>
      </w:r>
      <w:r>
        <w:rPr>
          <w:rFonts w:hint="default"/>
          <w:i w:val="0"/>
          <w:iCs w:val="0"/>
          <w:sz w:val="20"/>
          <w:szCs w:val="20"/>
          <w:lang w:val="en-US" w:eastAsia="zh-CN"/>
        </w:rPr>
        <w:t>from system parameters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bCs/>
                <w:sz w:val="20"/>
                <w:szCs w:val="20"/>
                <w:highlight w:val="none"/>
              </w:rPr>
            </w:pPr>
            <w:r>
              <w:rPr>
                <w:iCs/>
                <w:sz w:val="20"/>
                <w:szCs w:val="20"/>
                <w:highlight w:val="none"/>
              </w:rPr>
              <w:t>The objectives are:</w:t>
            </w:r>
          </w:p>
          <w:p>
            <w:pPr>
              <w:numPr>
                <w:ilvl w:val="0"/>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Use the regulation requirements in ITU Regions 1, 2 and 3 to identify relevant adjacent band co-existence scenarios for NTN Ku Band covering the following frequency ranges, considering targeted deployment scenarios:</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For ITU regions 1 and 3:</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Downlink 10.70 – 12.75 GHz</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Uplink 13.75-14.5 GHz</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For ITU regions 2</w:t>
            </w:r>
            <w:r>
              <w:rPr>
                <w:sz w:val="20"/>
                <w:szCs w:val="20"/>
                <w:highlight w:val="none"/>
              </w:rPr>
              <w:t xml:space="preserve"> (The US is in scope for the WI using the current allocation of the Ku band. The band introduction in specification is pending FCC decision)</w:t>
            </w:r>
            <w:r>
              <w:rPr>
                <w:bCs/>
                <w:sz w:val="20"/>
                <w:szCs w:val="20"/>
                <w:highlight w:val="none"/>
              </w:rPr>
              <w:t>:</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Downlink 10.70 – 12.70 GHz</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Uplink 13.75-14.5 GHz</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For ITU regions 1 and 3</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Downlink 10.70 – 12.75 GHz</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Uplink 12.75 - 13.25 GHz</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 xml:space="preserve">For ITU regions 2 </w:t>
            </w:r>
            <w:r>
              <w:rPr>
                <w:sz w:val="20"/>
                <w:szCs w:val="20"/>
                <w:highlight w:val="none"/>
              </w:rPr>
              <w:t>(The US is in scope for the WI using the current allocation of the Ku band. The band introduction in specification is pending FCC decision):</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Downlink 10.70 – 12.70 GHz</w:t>
            </w:r>
          </w:p>
          <w:p>
            <w:pPr>
              <w:numPr>
                <w:ilvl w:val="2"/>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Uplink 12.70 - 13.25 GHz</w:t>
            </w:r>
          </w:p>
          <w:p>
            <w:pPr>
              <w:numPr>
                <w:ilvl w:val="1"/>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Note: Appropriate Tx/Rx separation for uplink downlink pairing will be required.</w:t>
            </w:r>
          </w:p>
          <w:p>
            <w:pPr>
              <w:numPr>
                <w:ilvl w:val="0"/>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Conduct coexistence study. Reuse Ka band coexistence study assumptions as much as possible, with modifications where necessary, e.g. for coexistence scenario, frequency range and subcarrier spacing. Conduct new co-existence studies based on adjacent services.</w:t>
            </w:r>
          </w:p>
          <w:p>
            <w:pPr>
              <w:numPr>
                <w:ilvl w:val="0"/>
                <w:numId w:val="8"/>
              </w:numPr>
              <w:overflowPunct w:val="0"/>
              <w:autoSpaceDE w:val="0"/>
              <w:autoSpaceDN w:val="0"/>
              <w:adjustRightInd w:val="0"/>
              <w:spacing w:after="0"/>
              <w:jc w:val="both"/>
              <w:textAlignment w:val="baseline"/>
              <w:rPr>
                <w:bCs/>
                <w:sz w:val="20"/>
                <w:szCs w:val="20"/>
                <w:highlight w:val="none"/>
              </w:rPr>
            </w:pPr>
            <w:r>
              <w:rPr>
                <w:bCs/>
                <w:sz w:val="20"/>
                <w:szCs w:val="20"/>
                <w:highlight w:val="none"/>
              </w:rPr>
              <w:t>Specify RF requirements for mobile VSAT served by NGSO and GSO based on existing mobile VSAT type 5 RF requirements</w:t>
            </w:r>
          </w:p>
          <w:p>
            <w:pPr>
              <w:numPr>
                <w:ilvl w:val="0"/>
                <w:numId w:val="8"/>
              </w:numPr>
              <w:overflowPunct w:val="0"/>
              <w:autoSpaceDE w:val="0"/>
              <w:autoSpaceDN w:val="0"/>
              <w:adjustRightInd w:val="0"/>
              <w:spacing w:after="0"/>
              <w:jc w:val="both"/>
              <w:textAlignment w:val="baseline"/>
              <w:rPr>
                <w:bCs/>
                <w:sz w:val="20"/>
                <w:szCs w:val="20"/>
                <w:highlight w:val="none"/>
              </w:rPr>
            </w:pPr>
            <w:r>
              <w:rPr>
                <w:sz w:val="20"/>
                <w:szCs w:val="20"/>
                <w:highlight w:val="none"/>
              </w:rPr>
              <w:t>Investigate and if possible specify common FR1 and FR2 radiated RF requirements for Satellite Access Node (SAN) and NTN VSAT types (excluding types 1 to 3) in 38.101-5 also considering existing regulations on antenna sizes for certain parts of the Ku band.</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highlight w:val="none"/>
              </w:rPr>
            </w:pPr>
            <w:r>
              <w:rPr>
                <w:sz w:val="20"/>
                <w:szCs w:val="20"/>
                <w:highlight w:val="none"/>
              </w:rPr>
              <w:t>Priority 1: for all ITU regions, define Ku band #1a and #1b for the downlink block and uplink block B. D</w:t>
            </w:r>
            <w:r>
              <w:rPr>
                <w:rFonts w:hint="eastAsia"/>
                <w:sz w:val="20"/>
                <w:szCs w:val="20"/>
                <w:highlight w:val="none"/>
                <w:lang w:eastAsia="zh-TW"/>
              </w:rPr>
              <w:t>efine two sets of bands, one for FR1 numerology and the other for FR2 numerology, including the support of the following: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highlight w:val="none"/>
              </w:rPr>
            </w:pPr>
            <w:r>
              <w:rPr>
                <w:sz w:val="20"/>
                <w:szCs w:val="20"/>
                <w:highlight w:val="none"/>
              </w:rPr>
              <w:t>Ku band #1a and #1b as FR1-NTN supporting</w:t>
            </w:r>
            <w:r>
              <w:rPr>
                <w:rFonts w:hint="eastAsia"/>
                <w:sz w:val="20"/>
                <w:szCs w:val="20"/>
                <w:highlight w:val="none"/>
                <w:lang w:eastAsia="zh-TW"/>
              </w:rPr>
              <w:t xml:space="preserve"> </w:t>
            </w:r>
            <w:r>
              <w:rPr>
                <w:sz w:val="20"/>
                <w:szCs w:val="20"/>
                <w:highlight w:val="none"/>
              </w:rPr>
              <w:t>10 MHz</w:t>
            </w:r>
            <w:r>
              <w:rPr>
                <w:rFonts w:hint="eastAsia"/>
                <w:sz w:val="20"/>
                <w:szCs w:val="20"/>
                <w:highlight w:val="none"/>
                <w:lang w:eastAsia="zh-TW"/>
              </w:rPr>
              <w:t>,</w:t>
            </w:r>
            <w:r>
              <w:rPr>
                <w:sz w:val="20"/>
                <w:szCs w:val="20"/>
                <w:highlight w:val="none"/>
              </w:rPr>
              <w:t xml:space="preserve"> 20 MHz, 25 MHz, 35 MHz, 50 MHz, 70 MHz and 100 MHz channel bandwidths with 30 kHz subcarrier spacing</w:t>
            </w:r>
          </w:p>
          <w:p>
            <w:pPr>
              <w:pStyle w:val="34"/>
              <w:numPr>
                <w:ilvl w:val="1"/>
                <w:numId w:val="9"/>
              </w:numPr>
              <w:overflowPunct/>
              <w:autoSpaceDE/>
              <w:autoSpaceDN/>
              <w:adjustRightInd/>
              <w:spacing w:before="0" w:beforeAutospacing="0" w:after="160" w:afterAutospacing="0" w:line="259" w:lineRule="auto"/>
              <w:contextualSpacing/>
              <w:jc w:val="both"/>
              <w:textAlignment w:val="auto"/>
              <w:rPr>
                <w:sz w:val="20"/>
                <w:szCs w:val="20"/>
                <w:highlight w:val="none"/>
              </w:rPr>
            </w:pPr>
            <w:r>
              <w:rPr>
                <w:sz w:val="20"/>
                <w:szCs w:val="20"/>
                <w:highlight w:val="none"/>
              </w:rPr>
              <w:t>Ku band #1a and #1b as FR2-NTN supporting 50 MHz, 100 MHz, 200 MHz, 400 MHz (120kHz SCS only) channel bandwidths with 120 kHz subcarrier spacing</w:t>
            </w:r>
            <w:r>
              <w:rPr>
                <w:sz w:val="20"/>
                <w:szCs w:val="20"/>
                <w:highlight w:val="none"/>
                <w:lang w:eastAsia="zh-TW"/>
              </w:rPr>
              <w:t>.</w:t>
            </w:r>
          </w:p>
          <w:p>
            <w:pPr>
              <w:pStyle w:val="34"/>
              <w:numPr>
                <w:ilvl w:val="0"/>
                <w:numId w:val="9"/>
              </w:numPr>
              <w:overflowPunct/>
              <w:autoSpaceDE/>
              <w:autoSpaceDN/>
              <w:adjustRightInd/>
              <w:spacing w:before="0" w:beforeAutospacing="0" w:after="160" w:afterAutospacing="0" w:line="259" w:lineRule="auto"/>
              <w:contextualSpacing/>
              <w:jc w:val="both"/>
              <w:textAlignment w:val="auto"/>
              <w:rPr>
                <w:sz w:val="20"/>
                <w:szCs w:val="20"/>
                <w:highlight w:val="none"/>
              </w:rPr>
            </w:pPr>
            <w:r>
              <w:rPr>
                <w:sz w:val="20"/>
                <w:szCs w:val="20"/>
                <w:highlight w:val="none"/>
              </w:rPr>
              <w:t>Priority 2: for all ITU regions excluding the US in region 2, using the approach in Priority 1, define Ku band #2a and #2b as appropriate for the downlink block and uplink block A.</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highlight w:val="none"/>
              </w:rPr>
            </w:pPr>
            <w:r>
              <w:rPr>
                <w:sz w:val="20"/>
                <w:szCs w:val="20"/>
                <w:highlight w:val="none"/>
              </w:rPr>
              <w:t>Specify RRM requirements including timing requirements for mobile VSAT served by NGSO</w:t>
            </w:r>
          </w:p>
          <w:p>
            <w:pPr>
              <w:pStyle w:val="34"/>
              <w:numPr>
                <w:ilvl w:val="1"/>
                <w:numId w:val="9"/>
              </w:numPr>
              <w:overflowPunct/>
              <w:autoSpaceDE/>
              <w:autoSpaceDN/>
              <w:adjustRightInd/>
              <w:spacing w:before="0" w:beforeAutospacing="0" w:after="0" w:afterAutospacing="0" w:line="259" w:lineRule="auto"/>
              <w:contextualSpacing/>
              <w:jc w:val="both"/>
              <w:textAlignment w:val="auto"/>
              <w:rPr>
                <w:sz w:val="20"/>
                <w:szCs w:val="20"/>
                <w:highlight w:val="none"/>
              </w:rPr>
            </w:pPr>
            <w:r>
              <w:rPr>
                <w:sz w:val="20"/>
                <w:szCs w:val="20"/>
                <w:highlight w:val="none"/>
              </w:rPr>
              <w:t>NOTE:</w:t>
            </w:r>
            <w:r>
              <w:rPr>
                <w:sz w:val="20"/>
                <w:szCs w:val="20"/>
                <w:highlight w:val="none"/>
              </w:rPr>
              <w:tab/>
            </w:r>
            <w:r>
              <w:rPr>
                <w:sz w:val="20"/>
                <w:szCs w:val="20"/>
                <w:highlight w:val="none"/>
              </w:rPr>
              <w:t>RRM requirements are defined for VSAT supporting FR1-NTN operation only, or for FR2-NTN operation only.</w:t>
            </w:r>
          </w:p>
          <w:p>
            <w:pPr>
              <w:pStyle w:val="34"/>
              <w:numPr>
                <w:ilvl w:val="0"/>
                <w:numId w:val="9"/>
              </w:numPr>
              <w:overflowPunct/>
              <w:autoSpaceDE/>
              <w:autoSpaceDN/>
              <w:adjustRightInd/>
              <w:spacing w:before="0" w:beforeAutospacing="0" w:after="0" w:afterAutospacing="0" w:line="259" w:lineRule="auto"/>
              <w:contextualSpacing/>
              <w:jc w:val="both"/>
              <w:textAlignment w:val="auto"/>
              <w:rPr>
                <w:sz w:val="20"/>
                <w:szCs w:val="20"/>
                <w:highlight w:val="none"/>
              </w:rPr>
            </w:pPr>
            <w:r>
              <w:rPr>
                <w:sz w:val="20"/>
                <w:szCs w:val="20"/>
                <w:highlight w:val="none"/>
              </w:rPr>
              <w:t>RAN#107 checkpoint: Depending on the feedback from RAN1 and RAN2 on the LS in R4-2419902, further WID updates may be needed to address feedback on specifying bands for both FR1-NTN numerology and FR2-NTN numerology or for other issues such as support for a single SCS per frequency band.</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highlight w:val="none"/>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cs="Times New Roman"/>
          <w:b w:val="0"/>
          <w:kern w:val="2"/>
          <w:sz w:val="20"/>
          <w:szCs w:val="20"/>
          <w:lang w:val="en-US" w:eastAsia="zh-CN" w:bidi="ar-SA"/>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numPr>
          <w:ilvl w:val="1"/>
          <w:numId w:val="0"/>
        </w:numPr>
        <w:bidi w:val="0"/>
        <w:ind w:leftChars="0" w:right="0" w:rightChars="0"/>
        <w:rPr>
          <w:rFonts w:hint="eastAsia"/>
          <w:sz w:val="24"/>
          <w:szCs w:val="18"/>
          <w:lang w:val="en-US" w:eastAsia="zh-CN"/>
        </w:rPr>
      </w:pPr>
      <w:r>
        <w:rPr>
          <w:rFonts w:hint="eastAsia"/>
          <w:sz w:val="24"/>
          <w:szCs w:val="18"/>
          <w:lang w:val="en-US" w:eastAsia="zh-CN"/>
        </w:rPr>
        <w:t>2.1 Band definition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4"/>
              <w:numPr>
                <w:ilvl w:val="0"/>
                <w:numId w:val="0"/>
              </w:numPr>
              <w:overflowPunct w:val="0"/>
              <w:autoSpaceDE w:val="0"/>
              <w:autoSpaceDN w:val="0"/>
              <w:adjustRightInd w:val="0"/>
              <w:ind w:left="720" w:hanging="720"/>
              <w:textAlignment w:val="baseline"/>
              <w:rPr>
                <w:rFonts w:cs="Arial"/>
                <w:b/>
                <w:bCs/>
                <w:lang w:val="en-US"/>
              </w:rPr>
            </w:pPr>
            <w:r>
              <w:rPr>
                <w:rFonts w:cs="Arial"/>
                <w:b/>
                <w:bCs/>
                <w:lang w:val="en-US"/>
              </w:rPr>
              <w:t>Sub-topic 1-1: Defining bands by regulatory authority</w:t>
            </w:r>
          </w:p>
          <w:p>
            <w:pPr>
              <w:keepNext/>
              <w:overflowPunct w:val="0"/>
              <w:autoSpaceDE w:val="0"/>
              <w:autoSpaceDN w:val="0"/>
              <w:adjustRightInd w:val="0"/>
              <w:spacing w:after="0" w:line="259" w:lineRule="auto"/>
              <w:textAlignment w:val="baseline"/>
              <w:rPr>
                <w:rFonts w:ascii="Arial" w:hAnsi="Arial" w:eastAsia="PMingLiU" w:cs="Arial"/>
                <w:sz w:val="22"/>
                <w:szCs w:val="22"/>
                <w:lang w:val="en-US" w:eastAsia="zh-TW"/>
              </w:rPr>
            </w:pPr>
            <w:r>
              <w:rPr>
                <w:rFonts w:ascii="Arial" w:hAnsi="Arial" w:eastAsia="PMingLiU" w:cs="Arial"/>
                <w:sz w:val="22"/>
                <w:szCs w:val="22"/>
                <w:lang w:val="en-US" w:eastAsia="zh-TW"/>
              </w:rPr>
              <w:t>Agree the following band definition</w:t>
            </w:r>
          </w:p>
          <w:p>
            <w:pPr>
              <w:pStyle w:val="56"/>
              <w:overflowPunct w:val="0"/>
              <w:autoSpaceDE w:val="0"/>
              <w:autoSpaceDN w:val="0"/>
              <w:adjustRightInd w:val="0"/>
              <w:spacing w:before="120" w:after="120"/>
              <w:ind w:left="576"/>
              <w:textAlignment w:val="baseline"/>
              <w:rPr>
                <w:rFonts w:cs="Arial"/>
              </w:rPr>
            </w:pPr>
            <w:r>
              <w:rPr>
                <w:rFonts w:cs="Arial"/>
              </w:rPr>
              <w:t xml:space="preserve">Table </w:t>
            </w:r>
            <w:r>
              <w:rPr>
                <w:rFonts w:cs="Arial"/>
                <w:lang w:val="en-US" w:eastAsia="zh-CN"/>
              </w:rPr>
              <w:t>X</w:t>
            </w:r>
            <w:r>
              <w:rPr>
                <w:rFonts w:cs="Arial"/>
              </w:rPr>
              <w:t xml:space="preserve">: </w:t>
            </w:r>
            <w:r>
              <w:rPr>
                <w:rFonts w:cs="Arial"/>
                <w:lang w:val="en-US" w:eastAsia="zh-CN"/>
              </w:rPr>
              <w:t>Band definitions for Ku band</w:t>
            </w:r>
          </w:p>
          <w:tbl>
            <w:tblPr>
              <w:tblStyle w:val="24"/>
              <w:tblW w:w="412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1"/>
              <w:gridCol w:w="2555"/>
              <w:gridCol w:w="2841"/>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tcPr>
                <w:p>
                  <w:pPr>
                    <w:pStyle w:val="65"/>
                    <w:overflowPunct/>
                    <w:autoSpaceDE/>
                    <w:autoSpaceDN/>
                    <w:adjustRightInd/>
                    <w:spacing w:after="180"/>
                    <w:textAlignment w:val="auto"/>
                    <w:rPr>
                      <w:rFonts w:eastAsia="Yu Mincho" w:cs="Arial"/>
                      <w:bCs/>
                      <w:szCs w:val="18"/>
                      <w:lang w:val="sv-SE"/>
                    </w:rPr>
                  </w:pPr>
                  <w:r>
                    <w:rPr>
                      <w:rFonts w:eastAsia="Yu Mincho" w:cs="Arial"/>
                      <w:szCs w:val="18"/>
                    </w:rPr>
                    <w:t>Satellite operating band</w:t>
                  </w:r>
                </w:p>
              </w:tc>
              <w:tc>
                <w:tcPr>
                  <w:tcW w:w="1606" w:type="pct"/>
                  <w:tcBorders>
                    <w:top w:val="single" w:color="auto" w:sz="4" w:space="0"/>
                    <w:left w:val="single" w:color="auto" w:sz="4" w:space="0"/>
                    <w:bottom w:val="single" w:color="auto" w:sz="4" w:space="0"/>
                    <w:right w:val="single" w:color="auto" w:sz="4" w:space="0"/>
                  </w:tcBorders>
                </w:tcPr>
                <w:p>
                  <w:pPr>
                    <w:pStyle w:val="65"/>
                    <w:overflowPunct/>
                    <w:autoSpaceDE/>
                    <w:autoSpaceDN/>
                    <w:adjustRightInd/>
                    <w:spacing w:after="180"/>
                    <w:textAlignment w:val="auto"/>
                    <w:rPr>
                      <w:rFonts w:eastAsia="Yu Mincho" w:cs="Arial"/>
                      <w:szCs w:val="18"/>
                    </w:rPr>
                  </w:pPr>
                  <w:r>
                    <w:rPr>
                      <w:rFonts w:eastAsia="Yu Mincho" w:cs="Arial"/>
                      <w:szCs w:val="18"/>
                    </w:rPr>
                    <w:t>Uplink (UL) operating band</w:t>
                  </w:r>
                  <w:r>
                    <w:rPr>
                      <w:rFonts w:eastAsia="Yu Mincho" w:cs="Arial"/>
                      <w:szCs w:val="18"/>
                    </w:rPr>
                    <w:br w:type="textWrapping"/>
                  </w:r>
                  <w:r>
                    <w:rPr>
                      <w:rFonts w:eastAsia="Yu Mincho" w:cs="Arial"/>
                      <w:szCs w:val="18"/>
                      <w:lang w:val="en-US"/>
                    </w:rPr>
                    <w:t>SAN</w:t>
                  </w:r>
                  <w:r>
                    <w:rPr>
                      <w:rFonts w:eastAsia="Yu Mincho" w:cs="Arial"/>
                      <w:szCs w:val="18"/>
                    </w:rPr>
                    <w:t xml:space="preserve"> receive / UE transmit</w:t>
                  </w:r>
                </w:p>
                <w:p>
                  <w:pPr>
                    <w:pStyle w:val="65"/>
                    <w:overflowPunct/>
                    <w:autoSpaceDE/>
                    <w:autoSpaceDN/>
                    <w:adjustRightInd/>
                    <w:spacing w:after="180"/>
                    <w:textAlignment w:val="auto"/>
                    <w:rPr>
                      <w:rFonts w:eastAsia="Yu Mincho" w:cs="Arial"/>
                      <w:bCs/>
                      <w:szCs w:val="18"/>
                      <w:lang w:val="sv-SE"/>
                    </w:rPr>
                  </w:pPr>
                  <w:r>
                    <w:rPr>
                      <w:rFonts w:eastAsia="Yu Mincho" w:cs="Arial"/>
                      <w:szCs w:val="18"/>
                    </w:rPr>
                    <w:t>F</w:t>
                  </w:r>
                  <w:r>
                    <w:rPr>
                      <w:rFonts w:eastAsia="Yu Mincho" w:cs="Arial"/>
                      <w:szCs w:val="18"/>
                      <w:vertAlign w:val="subscript"/>
                    </w:rPr>
                    <w:t>UL,low</w:t>
                  </w:r>
                  <w:r>
                    <w:rPr>
                      <w:rFonts w:eastAsia="Yu Mincho" w:cs="Arial"/>
                      <w:szCs w:val="18"/>
                    </w:rPr>
                    <w:t xml:space="preserve">   –  F</w:t>
                  </w:r>
                  <w:r>
                    <w:rPr>
                      <w:rFonts w:eastAsia="Yu Mincho" w:cs="Arial"/>
                      <w:szCs w:val="18"/>
                      <w:vertAlign w:val="subscript"/>
                    </w:rPr>
                    <w:t>UL,high</w:t>
                  </w:r>
                </w:p>
              </w:tc>
              <w:tc>
                <w:tcPr>
                  <w:tcW w:w="1786" w:type="pct"/>
                  <w:tcBorders>
                    <w:top w:val="single" w:color="auto" w:sz="4" w:space="0"/>
                    <w:left w:val="single" w:color="auto" w:sz="4" w:space="0"/>
                    <w:bottom w:val="single" w:color="auto" w:sz="4" w:space="0"/>
                    <w:right w:val="single" w:color="auto" w:sz="4" w:space="0"/>
                  </w:tcBorders>
                </w:tcPr>
                <w:p>
                  <w:pPr>
                    <w:pStyle w:val="65"/>
                    <w:overflowPunct/>
                    <w:autoSpaceDE/>
                    <w:autoSpaceDN/>
                    <w:adjustRightInd/>
                    <w:spacing w:after="180"/>
                    <w:textAlignment w:val="auto"/>
                    <w:rPr>
                      <w:rFonts w:eastAsia="Yu Mincho" w:cs="Arial"/>
                      <w:szCs w:val="18"/>
                    </w:rPr>
                  </w:pPr>
                  <w:r>
                    <w:rPr>
                      <w:rFonts w:eastAsia="Yu Mincho" w:cs="Arial"/>
                      <w:szCs w:val="18"/>
                    </w:rPr>
                    <w:t>Downlink (DL) operating band</w:t>
                  </w:r>
                  <w:r>
                    <w:rPr>
                      <w:rFonts w:eastAsia="Yu Mincho" w:cs="Arial"/>
                      <w:szCs w:val="18"/>
                    </w:rPr>
                    <w:br w:type="textWrapping"/>
                  </w:r>
                  <w:r>
                    <w:rPr>
                      <w:rFonts w:eastAsia="Yu Mincho" w:cs="Arial"/>
                      <w:szCs w:val="18"/>
                      <w:lang w:val="en-US"/>
                    </w:rPr>
                    <w:t>SAN</w:t>
                  </w:r>
                  <w:r>
                    <w:rPr>
                      <w:rFonts w:eastAsia="Yu Mincho" w:cs="Arial"/>
                      <w:szCs w:val="18"/>
                    </w:rPr>
                    <w:t xml:space="preserve"> transmit / UE receive</w:t>
                  </w:r>
                </w:p>
                <w:p>
                  <w:pPr>
                    <w:pStyle w:val="65"/>
                    <w:overflowPunct/>
                    <w:autoSpaceDE/>
                    <w:autoSpaceDN/>
                    <w:adjustRightInd/>
                    <w:spacing w:after="180"/>
                    <w:textAlignment w:val="auto"/>
                    <w:rPr>
                      <w:rFonts w:eastAsia="Yu Mincho" w:cs="Arial"/>
                      <w:bCs/>
                      <w:szCs w:val="18"/>
                      <w:lang w:val="sv-SE"/>
                    </w:rPr>
                  </w:pPr>
                  <w:r>
                    <w:rPr>
                      <w:rFonts w:eastAsia="Yu Mincho" w:cs="Arial"/>
                      <w:szCs w:val="18"/>
                    </w:rPr>
                    <w:t>F</w:t>
                  </w:r>
                  <w:r>
                    <w:rPr>
                      <w:rFonts w:eastAsia="Yu Mincho" w:cs="Arial"/>
                      <w:szCs w:val="18"/>
                      <w:vertAlign w:val="subscript"/>
                    </w:rPr>
                    <w:t>DL,low</w:t>
                  </w:r>
                  <w:r>
                    <w:rPr>
                      <w:rFonts w:eastAsia="Yu Mincho" w:cs="Arial"/>
                      <w:szCs w:val="18"/>
                    </w:rPr>
                    <w:t xml:space="preserve">   –  F</w:t>
                  </w:r>
                  <w:r>
                    <w:rPr>
                      <w:rFonts w:eastAsia="Yu Mincho" w:cs="Arial"/>
                      <w:szCs w:val="18"/>
                      <w:vertAlign w:val="subscript"/>
                    </w:rPr>
                    <w:t>DL,high</w:t>
                  </w:r>
                </w:p>
              </w:tc>
              <w:tc>
                <w:tcPr>
                  <w:tcW w:w="713" w:type="pct"/>
                  <w:tcBorders>
                    <w:top w:val="single" w:color="auto" w:sz="4" w:space="0"/>
                    <w:left w:val="single" w:color="auto" w:sz="4" w:space="0"/>
                    <w:bottom w:val="single" w:color="auto" w:sz="4" w:space="0"/>
                    <w:right w:val="single" w:color="auto" w:sz="4" w:space="0"/>
                  </w:tcBorders>
                </w:tcPr>
                <w:p>
                  <w:pPr>
                    <w:pStyle w:val="65"/>
                    <w:overflowPunct/>
                    <w:autoSpaceDE/>
                    <w:autoSpaceDN/>
                    <w:adjustRightInd/>
                    <w:spacing w:after="180"/>
                    <w:textAlignment w:val="auto"/>
                    <w:rPr>
                      <w:rFonts w:eastAsia="Yu Mincho" w:cs="Arial"/>
                      <w:bCs/>
                      <w:szCs w:val="18"/>
                      <w:lang w:val="sv-SE"/>
                    </w:rPr>
                  </w:pPr>
                  <w:r>
                    <w:rPr>
                      <w:rFonts w:eastAsia="Yu Mincho" w:cs="Arial"/>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overflowPunct/>
                    <w:autoSpaceDE/>
                    <w:autoSpaceDN/>
                    <w:adjustRightInd/>
                    <w:spacing w:after="180"/>
                    <w:textAlignment w:val="auto"/>
                    <w:rPr>
                      <w:rFonts w:eastAsia="Yu Mincho" w:cs="Arial"/>
                      <w:szCs w:val="18"/>
                      <w:lang w:val="sv-SE"/>
                    </w:rPr>
                  </w:pPr>
                  <w:r>
                    <w:rPr>
                      <w:rFonts w:eastAsia="Yu Mincho" w:cs="Arial"/>
                      <w:szCs w:val="18"/>
                      <w:lang w:val="sv-SE"/>
                    </w:rPr>
                    <w:t>n</w:t>
                  </w:r>
                  <w:r>
                    <w:rPr>
                      <w:rFonts w:eastAsia="Yu Mincho" w:cs="Arial"/>
                      <w:szCs w:val="18"/>
                      <w:lang w:val="en-US" w:eastAsia="zh-CN"/>
                    </w:rPr>
                    <w:t>X</w:t>
                  </w:r>
                  <w:r>
                    <w:rPr>
                      <w:rFonts w:eastAsia="Yu Mincho" w:cs="Arial"/>
                      <w:szCs w:val="18"/>
                    </w:rPr>
                    <w:t>(Note 1)</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overflowPunct/>
                    <w:autoSpaceDE/>
                    <w:autoSpaceDN/>
                    <w:adjustRightInd/>
                    <w:spacing w:after="180"/>
                    <w:textAlignment w:val="auto"/>
                    <w:rPr>
                      <w:rFonts w:eastAsia="Yu Mincho" w:cs="Arial"/>
                      <w:szCs w:val="18"/>
                      <w:lang w:val="sv-SE"/>
                    </w:rPr>
                  </w:pPr>
                  <w:r>
                    <w:rPr>
                      <w:rFonts w:eastAsia="Yu Mincho" w:cs="Arial"/>
                      <w:szCs w:val="18"/>
                      <w:lang w:val="en-US" w:eastAsia="zh-CN"/>
                    </w:rPr>
                    <w:t>140</w:t>
                  </w:r>
                  <w:r>
                    <w:rPr>
                      <w:rFonts w:eastAsia="Yu Mincho" w:cs="Arial"/>
                      <w:szCs w:val="18"/>
                      <w:lang w:val="sv-SE"/>
                    </w:rPr>
                    <w:t xml:space="preserve">00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overflowPunct/>
                    <w:autoSpaceDE/>
                    <w:autoSpaceDN/>
                    <w:adjustRightInd/>
                    <w:spacing w:after="180"/>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1275</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overflowPunct/>
                    <w:autoSpaceDE/>
                    <w:autoSpaceDN/>
                    <w:adjustRightInd/>
                    <w:spacing w:after="180"/>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overflowPunct/>
                    <w:autoSpaceDE/>
                    <w:autoSpaceDN/>
                    <w:adjustRightInd/>
                    <w:spacing w:after="180"/>
                    <w:textAlignment w:val="auto"/>
                    <w:rPr>
                      <w:rFonts w:eastAsia="Yu Mincho" w:cs="Arial"/>
                      <w:szCs w:val="18"/>
                      <w:lang w:val="sv-SE"/>
                    </w:rPr>
                  </w:pPr>
                  <w:r>
                    <w:rPr>
                      <w:rFonts w:eastAsia="Yu Mincho" w:cs="Arial"/>
                      <w:szCs w:val="18"/>
                      <w:lang w:val="sv-SE"/>
                    </w:rPr>
                    <w:t>n</w:t>
                  </w:r>
                  <w:r>
                    <w:rPr>
                      <w:rFonts w:eastAsia="Yu Mincho" w:cs="Arial"/>
                      <w:szCs w:val="18"/>
                      <w:lang w:val="en-US" w:eastAsia="zh-CN"/>
                    </w:rPr>
                    <w:t>Y</w:t>
                  </w:r>
                  <w:r>
                    <w:rPr>
                      <w:rFonts w:eastAsia="Yu Mincho" w:cs="Arial"/>
                      <w:szCs w:val="18"/>
                    </w:rPr>
                    <w:t>(Note 2)</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overflowPunct/>
                    <w:autoSpaceDE/>
                    <w:autoSpaceDN/>
                    <w:adjustRightInd/>
                    <w:spacing w:after="180"/>
                    <w:textAlignment w:val="auto"/>
                    <w:rPr>
                      <w:rFonts w:eastAsia="Yu Mincho" w:cs="Arial"/>
                      <w:szCs w:val="18"/>
                      <w:lang w:val="sv-SE"/>
                    </w:rPr>
                  </w:pPr>
                  <w:r>
                    <w:rPr>
                      <w:rFonts w:eastAsia="Yu Mincho" w:cs="Arial"/>
                      <w:szCs w:val="18"/>
                      <w:lang w:val="en-US" w:eastAsia="zh-CN"/>
                    </w:rPr>
                    <w:t>1400</w:t>
                  </w:r>
                  <w:r>
                    <w:rPr>
                      <w:rFonts w:eastAsia="Yu Mincho" w:cs="Arial"/>
                      <w:szCs w:val="18"/>
                      <w:lang w:val="sv-SE"/>
                    </w:rPr>
                    <w:t xml:space="preserve">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overflowPunct/>
                    <w:autoSpaceDE/>
                    <w:autoSpaceDN/>
                    <w:adjustRightInd/>
                    <w:spacing w:after="180"/>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1270</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overflowPunct/>
                    <w:autoSpaceDE/>
                    <w:autoSpaceDN/>
                    <w:adjustRightInd/>
                    <w:spacing w:after="180"/>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0"/>
                    <w:overflowPunct/>
                    <w:autoSpaceDE/>
                    <w:autoSpaceDN/>
                    <w:adjustRightInd/>
                    <w:spacing w:after="180"/>
                    <w:textAlignment w:val="auto"/>
                    <w:rPr>
                      <w:rFonts w:eastAsia="Yu Mincho" w:cs="Arial"/>
                      <w:szCs w:val="18"/>
                    </w:rPr>
                  </w:pPr>
                  <w:r>
                    <w:rPr>
                      <w:rFonts w:eastAsia="Yu Mincho" w:cs="Arial"/>
                      <w:szCs w:val="18"/>
                    </w:rPr>
                    <w:t>NOTE 1:</w:t>
                  </w:r>
                  <w:r>
                    <w:rPr>
                      <w:rFonts w:eastAsia="Yu Mincho" w:cs="Arial"/>
                      <w:szCs w:val="18"/>
                    </w:rPr>
                    <w:tab/>
                  </w:r>
                  <w:r>
                    <w:rPr>
                      <w:rFonts w:eastAsia="Yu Mincho"/>
                    </w:rPr>
                    <w:t xml:space="preserve">This band is applicable in the countries </w:t>
                  </w:r>
                  <w:r>
                    <w:rPr>
                      <w:rFonts w:eastAsia="Yu Mincho"/>
                      <w:lang w:val="en-GB"/>
                    </w:rPr>
                    <w:t xml:space="preserve">and or regions </w:t>
                  </w:r>
                  <w:r>
                    <w:rPr>
                      <w:rFonts w:eastAsia="Yu Mincho"/>
                    </w:rPr>
                    <w:t xml:space="preserve">subject to </w:t>
                  </w:r>
                  <w:r>
                    <w:rPr>
                      <w:rFonts w:eastAsia="Yu Mincho"/>
                      <w:lang w:val="en-GB"/>
                    </w:rPr>
                    <w:t xml:space="preserve">or referring to </w:t>
                  </w:r>
                  <w:r>
                    <w:rPr>
                      <w:rFonts w:eastAsia="Yu Mincho"/>
                    </w:rPr>
                    <w:t>CEPT ECC Decision(05)01 and ECC Decision (13)01.</w:t>
                  </w:r>
                </w:p>
                <w:p>
                  <w:pPr>
                    <w:pStyle w:val="70"/>
                    <w:overflowPunct/>
                    <w:autoSpaceDE/>
                    <w:autoSpaceDN/>
                    <w:adjustRightInd/>
                    <w:spacing w:after="180"/>
                    <w:textAlignment w:val="auto"/>
                    <w:rPr>
                      <w:rFonts w:eastAsia="Yu Mincho" w:cs="Arial"/>
                      <w:szCs w:val="18"/>
                    </w:rPr>
                  </w:pPr>
                  <w:r>
                    <w:rPr>
                      <w:rFonts w:eastAsia="Yu Mincho" w:cs="Arial"/>
                      <w:szCs w:val="18"/>
                    </w:rPr>
                    <w:t>NOTE 2:</w:t>
                  </w:r>
                  <w:r>
                    <w:rPr>
                      <w:rFonts w:eastAsia="Yu Mincho" w:cs="Arial"/>
                      <w:szCs w:val="18"/>
                    </w:rPr>
                    <w:tab/>
                  </w:r>
                  <w:r>
                    <w:rPr>
                      <w:rFonts w:eastAsia="Yu Mincho" w:cs="Arial"/>
                      <w:szCs w:val="18"/>
                    </w:rPr>
                    <w:t xml:space="preserve">This band is applicable in the </w:t>
                  </w:r>
                  <w:r>
                    <w:rPr>
                      <w:rFonts w:eastAsia="Yu Mincho" w:cs="Arial"/>
                      <w:szCs w:val="18"/>
                      <w:lang w:val="en-US" w:eastAsia="zh-CN"/>
                    </w:rPr>
                    <w:t>countries</w:t>
                  </w:r>
                  <w:r>
                    <w:rPr>
                      <w:rFonts w:eastAsia="Yu Mincho" w:cs="Arial"/>
                      <w:szCs w:val="18"/>
                    </w:rPr>
                    <w:t xml:space="preserve"> </w:t>
                  </w:r>
                  <w:r>
                    <w:rPr>
                      <w:rFonts w:eastAsia="Yu Mincho" w:cs="Arial"/>
                      <w:szCs w:val="18"/>
                      <w:lang w:val="en-GB"/>
                    </w:rPr>
                    <w:t xml:space="preserve">and or regions </w:t>
                  </w:r>
                  <w:r>
                    <w:rPr>
                      <w:rFonts w:eastAsia="Yu Mincho" w:cs="Arial"/>
                      <w:szCs w:val="18"/>
                    </w:rPr>
                    <w:t>referring to or subject to FCC 47 CFR part 25.</w:t>
                  </w:r>
                </w:p>
              </w:tc>
            </w:tr>
          </w:tbl>
          <w:p>
            <w:pPr>
              <w:overflowPunct w:val="0"/>
              <w:autoSpaceDE w:val="0"/>
              <w:autoSpaceDN w:val="0"/>
              <w:adjustRightInd w:val="0"/>
              <w:spacing w:after="180"/>
              <w:textAlignment w:val="baseline"/>
              <w:rPr>
                <w:rFonts w:hint="default"/>
                <w:vertAlign w:val="baseline"/>
                <w:lang w:val="en-US" w:eastAsia="zh-CN"/>
              </w:rPr>
            </w:pPr>
          </w:p>
        </w:tc>
      </w:tr>
    </w:tbl>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eastAsia" w:cs="Times New Roman"/>
          <w:sz w:val="20"/>
          <w:szCs w:val="20"/>
          <w:lang w:val="en-US" w:eastAsia="zh-CN"/>
        </w:rPr>
      </w:pPr>
      <w:r>
        <w:rPr>
          <w:rFonts w:hint="eastAsia" w:cs="Times New Roman"/>
          <w:sz w:val="20"/>
          <w:szCs w:val="20"/>
          <w:lang w:val="en-US" w:eastAsia="zh-CN"/>
        </w:rPr>
        <w:t>The above is the agreement we reached in last meeting. Furthermore, according to the objective of the revised WID, it states that d</w:t>
      </w:r>
      <w:r>
        <w:rPr>
          <w:rFonts w:hint="eastAsia" w:cs="Times New Roman"/>
          <w:sz w:val="20"/>
          <w:szCs w:val="20"/>
          <w:lang w:val="en-US" w:eastAsia="zh-TW"/>
        </w:rPr>
        <w:t>efine two sets of bands, one for FR1 numerology and the other for FR2 numerology</w:t>
      </w:r>
      <w:r>
        <w:rPr>
          <w:rFonts w:hint="eastAsia" w:cs="Times New Roman"/>
          <w:sz w:val="20"/>
          <w:szCs w:val="20"/>
          <w:lang w:val="en-US" w:eastAsia="zh-CN"/>
        </w:rPr>
        <w:t>. We propose to define the following bands in specification, which is shown in Table 2.1-1 and Table 2.1-2.</w:t>
      </w:r>
    </w:p>
    <w:p>
      <w:pPr>
        <w:pStyle w:val="56"/>
        <w:spacing w:before="120" w:after="120"/>
        <w:ind w:left="576"/>
        <w:rPr>
          <w:rFonts w:cs="Arial"/>
        </w:rPr>
      </w:pPr>
      <w:r>
        <w:rPr>
          <w:rFonts w:cs="Arial"/>
        </w:rPr>
        <w:t xml:space="preserve">Table </w:t>
      </w:r>
      <w:r>
        <w:rPr>
          <w:rFonts w:hint="eastAsia" w:cs="Arial"/>
          <w:lang w:val="en-US" w:eastAsia="zh-CN"/>
        </w:rPr>
        <w:t>2.1-1</w:t>
      </w:r>
      <w:r>
        <w:rPr>
          <w:rFonts w:cs="Arial"/>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Style w:val="24"/>
        <w:tblW w:w="412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2615"/>
        <w:gridCol w:w="2908"/>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Satellite operating band</w:t>
            </w:r>
          </w:p>
        </w:tc>
        <w:tc>
          <w:tcPr>
            <w:tcW w:w="160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rPr>
            </w:pPr>
            <w:r>
              <w:rPr>
                <w:rFonts w:eastAsia="Yu Mincho" w:cs="Arial"/>
                <w:szCs w:val="18"/>
              </w:rPr>
              <w:t>Uplink (UL) operating band</w:t>
            </w:r>
            <w:r>
              <w:rPr>
                <w:rFonts w:eastAsia="Yu Mincho" w:cs="Arial"/>
                <w:szCs w:val="18"/>
              </w:rPr>
              <w:br w:type="textWrapping"/>
            </w:r>
            <w:r>
              <w:rPr>
                <w:rFonts w:eastAsia="Yu Mincho" w:cs="Arial"/>
                <w:szCs w:val="18"/>
                <w:lang w:val="en-US"/>
              </w:rPr>
              <w:t>SAN</w:t>
            </w:r>
            <w:r>
              <w:rPr>
                <w:rFonts w:eastAsia="Yu Mincho" w:cs="Arial"/>
                <w:szCs w:val="18"/>
              </w:rPr>
              <w:t xml:space="preserve"> receive / UE transmit</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F</w:t>
            </w:r>
            <w:r>
              <w:rPr>
                <w:rFonts w:eastAsia="Yu Mincho" w:cs="Arial"/>
                <w:szCs w:val="18"/>
                <w:vertAlign w:val="subscript"/>
              </w:rPr>
              <w:t>UL,low</w:t>
            </w:r>
            <w:r>
              <w:rPr>
                <w:rFonts w:eastAsia="Yu Mincho" w:cs="Arial"/>
                <w:szCs w:val="18"/>
              </w:rPr>
              <w:t xml:space="preserve">   –  F</w:t>
            </w:r>
            <w:r>
              <w:rPr>
                <w:rFonts w:eastAsia="Yu Mincho" w:cs="Arial"/>
                <w:szCs w:val="18"/>
                <w:vertAlign w:val="subscript"/>
              </w:rPr>
              <w:t>UL,high</w:t>
            </w:r>
          </w:p>
        </w:tc>
        <w:tc>
          <w:tcPr>
            <w:tcW w:w="178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rPr>
            </w:pPr>
            <w:r>
              <w:rPr>
                <w:rFonts w:eastAsia="Yu Mincho" w:cs="Arial"/>
                <w:szCs w:val="18"/>
              </w:rPr>
              <w:t>Downlink (DL) operating band</w:t>
            </w:r>
            <w:r>
              <w:rPr>
                <w:rFonts w:eastAsia="Yu Mincho" w:cs="Arial"/>
                <w:szCs w:val="18"/>
              </w:rPr>
              <w:br w:type="textWrapping"/>
            </w:r>
            <w:r>
              <w:rPr>
                <w:rFonts w:eastAsia="Yu Mincho" w:cs="Arial"/>
                <w:szCs w:val="18"/>
                <w:lang w:val="en-US"/>
              </w:rPr>
              <w:t>SAN</w:t>
            </w:r>
            <w:r>
              <w:rPr>
                <w:rFonts w:eastAsia="Yu Mincho" w:cs="Arial"/>
                <w:szCs w:val="18"/>
              </w:rPr>
              <w:t xml:space="preserve"> transmit / UE receive</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F</w:t>
            </w:r>
            <w:r>
              <w:rPr>
                <w:rFonts w:eastAsia="Yu Mincho" w:cs="Arial"/>
                <w:szCs w:val="18"/>
                <w:vertAlign w:val="subscript"/>
              </w:rPr>
              <w:t>DL,low</w:t>
            </w:r>
            <w:r>
              <w:rPr>
                <w:rFonts w:eastAsia="Yu Mincho" w:cs="Arial"/>
                <w:szCs w:val="18"/>
              </w:rPr>
              <w:t xml:space="preserve">   –  F</w:t>
            </w:r>
            <w:r>
              <w:rPr>
                <w:rFonts w:eastAsia="Yu Mincho" w:cs="Arial"/>
                <w:szCs w:val="18"/>
                <w:vertAlign w:val="subscript"/>
              </w:rPr>
              <w:t>DL,high</w:t>
            </w:r>
          </w:p>
        </w:tc>
        <w:tc>
          <w:tcPr>
            <w:tcW w:w="71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hint="eastAsia" w:eastAsia="宋体" w:cs="Arial"/>
                <w:szCs w:val="18"/>
                <w:lang w:val="en-US" w:eastAsia="zh-CN"/>
              </w:rPr>
              <w:t>[n</w:t>
            </w:r>
            <w:r>
              <w:rPr>
                <w:rFonts w:hint="eastAsia" w:eastAsia="Yu Mincho" w:cs="Arial"/>
                <w:szCs w:val="18"/>
                <w:lang w:val="en-US" w:eastAsia="zh-CN"/>
              </w:rPr>
              <w:t>249]</w:t>
            </w:r>
            <w:r>
              <w:rPr>
                <w:rFonts w:eastAsia="Yu Mincho" w:cs="Arial"/>
                <w:szCs w:val="18"/>
              </w:rPr>
              <w:t>(Note 1)</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en-US" w:eastAsia="zh-CN"/>
              </w:rPr>
              <w:t>140</w:t>
            </w:r>
            <w:r>
              <w:rPr>
                <w:rFonts w:eastAsia="Yu Mincho" w:cs="Arial"/>
                <w:szCs w:val="18"/>
                <w:lang w:val="sv-SE"/>
              </w:rPr>
              <w:t xml:space="preserve">00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1275</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hint="eastAsia" w:eastAsia="宋体" w:cs="Arial"/>
                <w:szCs w:val="18"/>
                <w:lang w:val="en-US" w:eastAsia="zh-CN"/>
              </w:rPr>
              <w:t>[n</w:t>
            </w:r>
            <w:r>
              <w:rPr>
                <w:rFonts w:hint="eastAsia" w:eastAsia="Yu Mincho" w:cs="Arial"/>
                <w:szCs w:val="18"/>
                <w:lang w:val="en-US" w:eastAsia="zh-CN"/>
              </w:rPr>
              <w:t>248]</w:t>
            </w:r>
            <w:r>
              <w:rPr>
                <w:rFonts w:eastAsia="Yu Mincho" w:cs="Arial"/>
                <w:szCs w:val="18"/>
              </w:rPr>
              <w:t>(Note 2)</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en-US" w:eastAsia="zh-CN"/>
              </w:rPr>
              <w:t>1400</w:t>
            </w:r>
            <w:r>
              <w:rPr>
                <w:rFonts w:eastAsia="Yu Mincho" w:cs="Arial"/>
                <w:szCs w:val="18"/>
                <w:lang w:val="sv-SE"/>
              </w:rPr>
              <w:t xml:space="preserve">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1270</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overflowPunct/>
              <w:topLinePunct w:val="0"/>
              <w:autoSpaceDE/>
              <w:autoSpaceDN/>
              <w:bidi w:val="0"/>
              <w:adjustRightInd/>
              <w:snapToGrid/>
              <w:spacing w:beforeLines="0" w:after="180" w:afterLines="0" w:line="240" w:lineRule="auto"/>
              <w:ind w:left="850" w:hanging="850"/>
              <w:textAlignment w:val="auto"/>
              <w:rPr>
                <w:rFonts w:eastAsia="Yu Mincho" w:cs="Arial"/>
                <w:szCs w:val="18"/>
              </w:rPr>
            </w:pPr>
            <w:r>
              <w:rPr>
                <w:rFonts w:eastAsia="Yu Mincho" w:cs="Arial"/>
                <w:szCs w:val="18"/>
              </w:rPr>
              <w:t>NOTE 1:</w:t>
            </w:r>
            <w:r>
              <w:rPr>
                <w:rFonts w:eastAsia="Yu Mincho" w:cs="Arial"/>
                <w:szCs w:val="18"/>
              </w:rPr>
              <w:tab/>
            </w:r>
            <w:r>
              <w:rPr>
                <w:rFonts w:eastAsia="Yu Mincho"/>
              </w:rPr>
              <w:t xml:space="preserve">This band is applicable in the countries </w:t>
            </w:r>
            <w:r>
              <w:rPr>
                <w:rFonts w:eastAsia="Yu Mincho"/>
                <w:lang w:val="en-GB"/>
              </w:rPr>
              <w:t xml:space="preserve">and or regions </w:t>
            </w:r>
            <w:r>
              <w:rPr>
                <w:rFonts w:eastAsia="Yu Mincho"/>
              </w:rPr>
              <w:t xml:space="preserve">subject to </w:t>
            </w:r>
            <w:r>
              <w:rPr>
                <w:rFonts w:eastAsia="Yu Mincho"/>
                <w:lang w:val="en-GB"/>
              </w:rPr>
              <w:t xml:space="preserve">or referring to </w:t>
            </w:r>
            <w:r>
              <w:rPr>
                <w:rFonts w:eastAsia="Yu Mincho"/>
              </w:rPr>
              <w:t>CEPT ECC Decision(05)01 and ECC Decision (13)01.</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ind w:left="850" w:hanging="850"/>
              <w:textAlignment w:val="auto"/>
              <w:rPr>
                <w:rFonts w:eastAsia="Yu Mincho" w:cs="Arial"/>
                <w:szCs w:val="18"/>
              </w:rPr>
            </w:pPr>
            <w:r>
              <w:rPr>
                <w:rFonts w:eastAsia="Yu Mincho" w:cs="Arial"/>
                <w:szCs w:val="18"/>
              </w:rPr>
              <w:t>NOTE 2:</w:t>
            </w:r>
            <w:r>
              <w:rPr>
                <w:rFonts w:eastAsia="Yu Mincho" w:cs="Arial"/>
                <w:szCs w:val="18"/>
              </w:rPr>
              <w:tab/>
            </w:r>
            <w:r>
              <w:rPr>
                <w:rFonts w:eastAsia="Yu Mincho" w:cs="Arial"/>
                <w:szCs w:val="18"/>
              </w:rPr>
              <w:t xml:space="preserve">This band is applicable in the </w:t>
            </w:r>
            <w:r>
              <w:rPr>
                <w:rFonts w:eastAsia="Yu Mincho" w:cs="Arial"/>
                <w:szCs w:val="18"/>
                <w:lang w:val="en-US" w:eastAsia="zh-CN"/>
              </w:rPr>
              <w:t>countries</w:t>
            </w:r>
            <w:r>
              <w:rPr>
                <w:rFonts w:eastAsia="Yu Mincho" w:cs="Arial"/>
                <w:szCs w:val="18"/>
              </w:rPr>
              <w:t xml:space="preserve"> </w:t>
            </w:r>
            <w:r>
              <w:rPr>
                <w:rFonts w:eastAsia="Yu Mincho" w:cs="Arial"/>
                <w:szCs w:val="18"/>
                <w:lang w:val="en-GB"/>
              </w:rPr>
              <w:t xml:space="preserve">and or regions </w:t>
            </w:r>
            <w:r>
              <w:rPr>
                <w:rFonts w:eastAsia="Yu Mincho" w:cs="Arial"/>
                <w:szCs w:val="18"/>
              </w:rPr>
              <w:t>referring to or subject to FCC 47 CFR part 25.</w:t>
            </w:r>
          </w:p>
        </w:tc>
      </w:tr>
    </w:tbl>
    <w:p>
      <w:pPr>
        <w:pStyle w:val="56"/>
        <w:spacing w:before="120" w:after="120"/>
        <w:ind w:left="576"/>
        <w:rPr>
          <w:rFonts w:cs="Arial"/>
        </w:rPr>
      </w:pPr>
      <w:r>
        <w:rPr>
          <w:rFonts w:cs="Arial"/>
        </w:rPr>
        <w:t xml:space="preserve">Table </w:t>
      </w:r>
      <w:r>
        <w:rPr>
          <w:rFonts w:hint="eastAsia" w:cs="Arial"/>
          <w:lang w:val="en-US" w:eastAsia="zh-CN"/>
        </w:rPr>
        <w:t>2.1-2</w:t>
      </w:r>
      <w:r>
        <w:rPr>
          <w:rFonts w:cs="Arial"/>
        </w:rPr>
        <w:t xml:space="preserve">: </w:t>
      </w:r>
      <w:r>
        <w:rPr>
          <w:lang w:val="en-US"/>
        </w:rPr>
        <w:t>S</w:t>
      </w:r>
      <w:r>
        <w:rPr>
          <w:rFonts w:hint="eastAsia"/>
          <w:lang w:val="en-US"/>
        </w:rPr>
        <w:t>atellite</w:t>
      </w:r>
      <w:r>
        <w:t xml:space="preserve"> </w:t>
      </w:r>
      <w:r>
        <w:rPr>
          <w:i/>
        </w:rPr>
        <w:t>operating bands</w:t>
      </w:r>
      <w:r>
        <w:t xml:space="preserve"> in FR2-NTN</w:t>
      </w:r>
    </w:p>
    <w:tbl>
      <w:tblPr>
        <w:tblStyle w:val="24"/>
        <w:tblW w:w="412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2615"/>
        <w:gridCol w:w="2908"/>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Satellite operating band</w:t>
            </w:r>
          </w:p>
        </w:tc>
        <w:tc>
          <w:tcPr>
            <w:tcW w:w="160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rPr>
            </w:pPr>
            <w:r>
              <w:rPr>
                <w:rFonts w:eastAsia="Yu Mincho" w:cs="Arial"/>
                <w:szCs w:val="18"/>
              </w:rPr>
              <w:t>Uplink (UL) operating band</w:t>
            </w:r>
            <w:r>
              <w:rPr>
                <w:rFonts w:eastAsia="Yu Mincho" w:cs="Arial"/>
                <w:szCs w:val="18"/>
              </w:rPr>
              <w:br w:type="textWrapping"/>
            </w:r>
            <w:r>
              <w:rPr>
                <w:rFonts w:eastAsia="Yu Mincho" w:cs="Arial"/>
                <w:szCs w:val="18"/>
                <w:lang w:val="en-US"/>
              </w:rPr>
              <w:t>SAN</w:t>
            </w:r>
            <w:r>
              <w:rPr>
                <w:rFonts w:eastAsia="Yu Mincho" w:cs="Arial"/>
                <w:szCs w:val="18"/>
              </w:rPr>
              <w:t xml:space="preserve"> receive / UE transmit</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F</w:t>
            </w:r>
            <w:r>
              <w:rPr>
                <w:rFonts w:eastAsia="Yu Mincho" w:cs="Arial"/>
                <w:szCs w:val="18"/>
                <w:vertAlign w:val="subscript"/>
              </w:rPr>
              <w:t>UL,low</w:t>
            </w:r>
            <w:r>
              <w:rPr>
                <w:rFonts w:eastAsia="Yu Mincho" w:cs="Arial"/>
                <w:szCs w:val="18"/>
              </w:rPr>
              <w:t xml:space="preserve">   –  F</w:t>
            </w:r>
            <w:r>
              <w:rPr>
                <w:rFonts w:eastAsia="Yu Mincho" w:cs="Arial"/>
                <w:szCs w:val="18"/>
                <w:vertAlign w:val="subscript"/>
              </w:rPr>
              <w:t>UL,high</w:t>
            </w:r>
          </w:p>
        </w:tc>
        <w:tc>
          <w:tcPr>
            <w:tcW w:w="178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rPr>
            </w:pPr>
            <w:r>
              <w:rPr>
                <w:rFonts w:eastAsia="Yu Mincho" w:cs="Arial"/>
                <w:szCs w:val="18"/>
              </w:rPr>
              <w:t>Downlink (DL) operating band</w:t>
            </w:r>
            <w:r>
              <w:rPr>
                <w:rFonts w:eastAsia="Yu Mincho" w:cs="Arial"/>
                <w:szCs w:val="18"/>
              </w:rPr>
              <w:br w:type="textWrapping"/>
            </w:r>
            <w:r>
              <w:rPr>
                <w:rFonts w:eastAsia="Yu Mincho" w:cs="Arial"/>
                <w:szCs w:val="18"/>
                <w:lang w:val="en-US"/>
              </w:rPr>
              <w:t>SAN</w:t>
            </w:r>
            <w:r>
              <w:rPr>
                <w:rFonts w:eastAsia="Yu Mincho" w:cs="Arial"/>
                <w:szCs w:val="18"/>
              </w:rPr>
              <w:t xml:space="preserve"> transmit / UE receive</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F</w:t>
            </w:r>
            <w:r>
              <w:rPr>
                <w:rFonts w:eastAsia="Yu Mincho" w:cs="Arial"/>
                <w:szCs w:val="18"/>
                <w:vertAlign w:val="subscript"/>
              </w:rPr>
              <w:t>DL,low</w:t>
            </w:r>
            <w:r>
              <w:rPr>
                <w:rFonts w:eastAsia="Yu Mincho" w:cs="Arial"/>
                <w:szCs w:val="18"/>
              </w:rPr>
              <w:t xml:space="preserve">   –  F</w:t>
            </w:r>
            <w:r>
              <w:rPr>
                <w:rFonts w:eastAsia="Yu Mincho" w:cs="Arial"/>
                <w:szCs w:val="18"/>
                <w:vertAlign w:val="subscript"/>
              </w:rPr>
              <w:t>DL,high</w:t>
            </w:r>
          </w:p>
        </w:tc>
        <w:tc>
          <w:tcPr>
            <w:tcW w:w="71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hint="eastAsia" w:eastAsia="宋体" w:cs="Arial"/>
                <w:szCs w:val="18"/>
                <w:lang w:val="en-US" w:eastAsia="zh-CN"/>
              </w:rPr>
              <w:t>[n</w:t>
            </w:r>
            <w:r>
              <w:rPr>
                <w:rFonts w:hint="eastAsia" w:eastAsia="Yu Mincho" w:cs="Arial"/>
                <w:szCs w:val="18"/>
                <w:lang w:val="en-US" w:eastAsia="zh-CN"/>
              </w:rPr>
              <w:t>509]</w:t>
            </w:r>
            <w:r>
              <w:rPr>
                <w:rFonts w:eastAsia="Yu Mincho" w:cs="Arial"/>
                <w:szCs w:val="18"/>
              </w:rPr>
              <w:t>(Note 1)</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en-US" w:eastAsia="zh-CN"/>
              </w:rPr>
              <w:t>140</w:t>
            </w:r>
            <w:r>
              <w:rPr>
                <w:rFonts w:eastAsia="Yu Mincho" w:cs="Arial"/>
                <w:szCs w:val="18"/>
                <w:lang w:val="sv-SE"/>
              </w:rPr>
              <w:t xml:space="preserve">00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1275</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hint="eastAsia" w:eastAsia="宋体" w:cs="Arial"/>
                <w:szCs w:val="18"/>
                <w:lang w:val="en-US" w:eastAsia="zh-CN"/>
              </w:rPr>
              <w:t>[n</w:t>
            </w:r>
            <w:r>
              <w:rPr>
                <w:rFonts w:hint="eastAsia" w:eastAsia="Yu Mincho" w:cs="Arial"/>
                <w:szCs w:val="18"/>
                <w:lang w:val="en-US" w:eastAsia="zh-CN"/>
              </w:rPr>
              <w:t>508]</w:t>
            </w:r>
            <w:r>
              <w:rPr>
                <w:rFonts w:eastAsia="Yu Mincho" w:cs="Arial"/>
                <w:szCs w:val="18"/>
              </w:rPr>
              <w:t>(Note 2)</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en-US" w:eastAsia="zh-CN"/>
              </w:rPr>
              <w:t>1400</w:t>
            </w:r>
            <w:r>
              <w:rPr>
                <w:rFonts w:eastAsia="Yu Mincho" w:cs="Arial"/>
                <w:szCs w:val="18"/>
                <w:lang w:val="sv-SE"/>
              </w:rPr>
              <w:t xml:space="preserve">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1270</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overflowPunct/>
              <w:topLinePunct w:val="0"/>
              <w:autoSpaceDE/>
              <w:autoSpaceDN/>
              <w:bidi w:val="0"/>
              <w:adjustRightInd/>
              <w:snapToGrid/>
              <w:spacing w:beforeLines="0" w:after="180" w:afterLines="0" w:line="240" w:lineRule="auto"/>
              <w:ind w:left="850" w:hanging="850"/>
              <w:textAlignment w:val="auto"/>
              <w:rPr>
                <w:rFonts w:eastAsia="Yu Mincho" w:cs="Arial"/>
                <w:szCs w:val="18"/>
              </w:rPr>
            </w:pPr>
            <w:r>
              <w:rPr>
                <w:rFonts w:eastAsia="Yu Mincho" w:cs="Arial"/>
                <w:szCs w:val="18"/>
              </w:rPr>
              <w:t>NOTE 1:</w:t>
            </w:r>
            <w:r>
              <w:rPr>
                <w:rFonts w:eastAsia="Yu Mincho" w:cs="Arial"/>
                <w:szCs w:val="18"/>
              </w:rPr>
              <w:tab/>
            </w:r>
            <w:r>
              <w:rPr>
                <w:rFonts w:eastAsia="Yu Mincho"/>
              </w:rPr>
              <w:t xml:space="preserve">This band is applicable in the countries </w:t>
            </w:r>
            <w:r>
              <w:rPr>
                <w:rFonts w:eastAsia="Yu Mincho"/>
                <w:lang w:val="en-GB"/>
              </w:rPr>
              <w:t xml:space="preserve">and or regions </w:t>
            </w:r>
            <w:r>
              <w:rPr>
                <w:rFonts w:eastAsia="Yu Mincho"/>
              </w:rPr>
              <w:t xml:space="preserve">subject to </w:t>
            </w:r>
            <w:r>
              <w:rPr>
                <w:rFonts w:eastAsia="Yu Mincho"/>
                <w:lang w:val="en-GB"/>
              </w:rPr>
              <w:t xml:space="preserve">or referring to </w:t>
            </w:r>
            <w:r>
              <w:rPr>
                <w:rFonts w:eastAsia="Yu Mincho"/>
              </w:rPr>
              <w:t>CEPT ECC Decision(05)01 and ECC Decision (13)01.</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ind w:left="850" w:hanging="850"/>
              <w:textAlignment w:val="auto"/>
              <w:rPr>
                <w:rFonts w:eastAsia="Yu Mincho" w:cs="Arial"/>
                <w:szCs w:val="18"/>
              </w:rPr>
            </w:pPr>
            <w:r>
              <w:rPr>
                <w:rFonts w:eastAsia="Yu Mincho" w:cs="Arial"/>
                <w:szCs w:val="18"/>
              </w:rPr>
              <w:t>NOTE 2:</w:t>
            </w:r>
            <w:r>
              <w:rPr>
                <w:rFonts w:eastAsia="Yu Mincho" w:cs="Arial"/>
                <w:szCs w:val="18"/>
              </w:rPr>
              <w:tab/>
            </w:r>
            <w:r>
              <w:rPr>
                <w:rFonts w:eastAsia="Yu Mincho" w:cs="Arial"/>
                <w:szCs w:val="18"/>
              </w:rPr>
              <w:t xml:space="preserve">This band is applicable in the </w:t>
            </w:r>
            <w:r>
              <w:rPr>
                <w:rFonts w:eastAsia="Yu Mincho" w:cs="Arial"/>
                <w:szCs w:val="18"/>
                <w:lang w:val="en-US" w:eastAsia="zh-CN"/>
              </w:rPr>
              <w:t>countries</w:t>
            </w:r>
            <w:r>
              <w:rPr>
                <w:rFonts w:eastAsia="Yu Mincho" w:cs="Arial"/>
                <w:szCs w:val="18"/>
              </w:rPr>
              <w:t xml:space="preserve"> </w:t>
            </w:r>
            <w:r>
              <w:rPr>
                <w:rFonts w:eastAsia="Yu Mincho" w:cs="Arial"/>
                <w:szCs w:val="18"/>
                <w:lang w:val="en-GB"/>
              </w:rPr>
              <w:t xml:space="preserve">and or regions </w:t>
            </w:r>
            <w:r>
              <w:rPr>
                <w:rFonts w:eastAsia="Yu Mincho" w:cs="Arial"/>
                <w:szCs w:val="18"/>
              </w:rPr>
              <w:t>referring to or subject to FCC 47 CFR part 25.</w:t>
            </w:r>
          </w:p>
        </w:tc>
      </w:tr>
    </w:tbl>
    <w:p>
      <w:pPr>
        <w:bidi w:val="0"/>
        <w:jc w:val="both"/>
        <w:rPr>
          <w:rFonts w:hint="default" w:cs="Times New Roman"/>
          <w:sz w:val="20"/>
          <w:szCs w:val="20"/>
          <w:lang w:val="en-US" w:eastAsia="zh-CN"/>
        </w:rPr>
      </w:pPr>
      <w:r>
        <w:rPr>
          <w:rFonts w:hint="eastAsia"/>
          <w:b/>
          <w:bCs/>
          <w:sz w:val="20"/>
          <w:szCs w:val="18"/>
          <w:lang w:val="en-US" w:eastAsia="zh-CN"/>
        </w:rPr>
        <w:t>Proposal 1: It is proposed to specify the following band definitions for Ku band, which is shown in Table 2.1-1 and Table 2.1-2.</w:t>
      </w:r>
    </w:p>
    <w:p>
      <w:pPr>
        <w:pStyle w:val="3"/>
        <w:numPr>
          <w:ilvl w:val="1"/>
          <w:numId w:val="0"/>
        </w:numPr>
        <w:bidi w:val="0"/>
        <w:ind w:leftChars="0" w:right="0" w:rightChars="0"/>
        <w:rPr>
          <w:rFonts w:hint="default"/>
          <w:sz w:val="24"/>
          <w:szCs w:val="18"/>
          <w:lang w:val="en-US" w:eastAsia="zh-CN"/>
        </w:rPr>
      </w:pPr>
      <w:r>
        <w:rPr>
          <w:rFonts w:hint="eastAsia"/>
          <w:sz w:val="24"/>
          <w:szCs w:val="18"/>
          <w:lang w:val="en-US" w:eastAsia="zh-CN"/>
        </w:rPr>
        <w:t>2.2 Channel bandwidth per operating band</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eastAsia="宋体"/>
          <w:sz w:val="20"/>
          <w:szCs w:val="20"/>
          <w:highlight w:val="none"/>
          <w:lang w:val="en-US" w:eastAsia="zh-CN"/>
        </w:rPr>
      </w:pPr>
      <w:r>
        <w:rPr>
          <w:rFonts w:hint="eastAsia" w:cs="Times New Roman"/>
          <w:sz w:val="20"/>
          <w:szCs w:val="20"/>
          <w:lang w:val="en-US" w:eastAsia="zh-CN"/>
        </w:rPr>
        <w:t xml:space="preserve">Based on the objective in the revised WID, we propose to define the following channel bandwidths for Ku band for </w:t>
      </w:r>
      <w:r>
        <w:rPr>
          <w:rFonts w:hint="eastAsia"/>
          <w:sz w:val="20"/>
          <w:szCs w:val="20"/>
          <w:highlight w:val="none"/>
          <w:lang w:eastAsia="zh-TW"/>
        </w:rPr>
        <w:t>two sets of bands</w:t>
      </w:r>
      <w:r>
        <w:rPr>
          <w:rFonts w:hint="eastAsia" w:eastAsia="宋体"/>
          <w:sz w:val="20"/>
          <w:szCs w:val="20"/>
          <w:highlight w:val="none"/>
          <w:lang w:val="en-US" w:eastAsia="zh-CN"/>
        </w:rPr>
        <w:t xml:space="preserve">. </w:t>
      </w:r>
    </w:p>
    <w:p>
      <w:pPr>
        <w:pStyle w:val="56"/>
        <w:rPr>
          <w:lang w:eastAsia="en-US"/>
        </w:rPr>
      </w:pPr>
      <w:r>
        <w:t xml:space="preserve">Table </w:t>
      </w:r>
      <w:r>
        <w:rPr>
          <w:rFonts w:hint="eastAsia"/>
          <w:lang w:val="en-US" w:eastAsia="zh-CN"/>
        </w:rPr>
        <w:t>2.2</w:t>
      </w:r>
      <w:r>
        <w:t>-1: Channel bandwidths for each NTN satellite band in FR1-NTN</w:t>
      </w:r>
    </w:p>
    <w:tbl>
      <w:tblPr>
        <w:tblStyle w:val="24"/>
        <w:tblW w:w="11125" w:type="dxa"/>
        <w:jc w:val="center"/>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850"/>
        <w:gridCol w:w="850"/>
        <w:gridCol w:w="850"/>
        <w:gridCol w:w="850"/>
        <w:gridCol w:w="850"/>
        <w:gridCol w:w="850"/>
        <w:gridCol w:w="850"/>
        <w:gridCol w:w="850"/>
        <w:gridCol w:w="850"/>
        <w:gridCol w:w="850"/>
      </w:tblGrid>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NTN satellite band</w:t>
            </w:r>
          </w:p>
        </w:tc>
        <w:tc>
          <w:tcPr>
            <w:tcW w:w="1132" w:type="dxa"/>
            <w:vMerge w:val="restart"/>
            <w:tcBorders>
              <w:lef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SCS</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kHz</w:t>
            </w:r>
          </w:p>
        </w:tc>
        <w:tc>
          <w:tcPr>
            <w:tcW w:w="8500" w:type="dxa"/>
            <w:gridSpan w:val="10"/>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1132" w:type="dxa"/>
            <w:vMerge w:val="continue"/>
            <w:tcBorders>
              <w:lef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eastAsia="Yu Mincho"/>
                <w:b/>
                <w:bCs/>
              </w:rPr>
            </w:pPr>
            <w:r>
              <w:rPr>
                <w:b/>
                <w:bCs/>
              </w:rPr>
              <w:t>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eastAsia="Yu Mincho"/>
                <w:b/>
                <w:bCs/>
              </w:rPr>
            </w:pPr>
            <w:r>
              <w:rPr>
                <w:b/>
                <w:bCs/>
              </w:rPr>
              <w:t>10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eastAsia="Yu Mincho"/>
                <w:b/>
                <w:bCs/>
              </w:rPr>
            </w:pPr>
            <w:r>
              <w:rPr>
                <w:b/>
                <w:bCs/>
              </w:rPr>
              <w:t>15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eastAsia="Yu Mincho"/>
                <w:b/>
                <w:bCs/>
              </w:rPr>
            </w:pPr>
            <w:r>
              <w:rPr>
                <w:b/>
                <w:bCs/>
              </w:rPr>
              <w:t>20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default" w:eastAsia="宋体"/>
                <w:b/>
                <w:bCs/>
                <w:lang w:val="en-US" w:eastAsia="zh-CN"/>
              </w:rPr>
            </w:pPr>
            <w:r>
              <w:rPr>
                <w:rFonts w:hint="eastAsia"/>
                <w:b/>
                <w:bCs/>
                <w:lang w:val="en-US" w:eastAsia="zh-CN"/>
              </w:rPr>
              <w:t>25</w:t>
            </w:r>
          </w:p>
        </w:tc>
        <w:tc>
          <w:tcPr>
            <w:tcW w:w="850" w:type="dxa"/>
            <w:vAlign w:val="top"/>
          </w:tcPr>
          <w:p>
            <w:pPr>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ascii="Arial" w:hAnsi="Arial"/>
                <w:b/>
                <w:sz w:val="18"/>
              </w:rPr>
            </w:pPr>
            <w:r>
              <w:rPr>
                <w:rFonts w:ascii="Arial" w:hAnsi="Arial"/>
                <w:b/>
                <w:sz w:val="18"/>
              </w:rPr>
              <w:t>30</w:t>
            </w:r>
          </w:p>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pPr>
            <w:r>
              <w:rPr>
                <w:b/>
              </w:rPr>
              <w:t>(NOTE)</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default" w:eastAsia="宋体"/>
                <w:b/>
                <w:lang w:val="en-US" w:eastAsia="zh-CN"/>
              </w:rPr>
            </w:pPr>
            <w:r>
              <w:rPr>
                <w:rFonts w:hint="eastAsia"/>
                <w:b/>
                <w:lang w:val="en-US" w:eastAsia="zh-CN"/>
              </w:rPr>
              <w:t>35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default"/>
                <w:b/>
                <w:lang w:val="en-US" w:eastAsia="zh-CN"/>
              </w:rPr>
            </w:pPr>
            <w:r>
              <w:rPr>
                <w:rFonts w:hint="eastAsia"/>
                <w:b/>
                <w:lang w:val="en-US" w:eastAsia="zh-CN"/>
              </w:rPr>
              <w:t>50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default"/>
                <w:b/>
                <w:lang w:val="en-US" w:eastAsia="zh-CN"/>
              </w:rPr>
            </w:pPr>
            <w:r>
              <w:rPr>
                <w:rFonts w:hint="eastAsia"/>
                <w:b/>
                <w:lang w:val="en-US" w:eastAsia="zh-CN"/>
              </w:rPr>
              <w:t>70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eastAsia"/>
                <w:b/>
                <w:lang w:val="en-US" w:eastAsia="zh-CN"/>
              </w:rPr>
            </w:pPr>
            <w:r>
              <w:rPr>
                <w:rFonts w:hint="eastAsia"/>
                <w:b/>
                <w:lang w:val="en-US" w:eastAsia="zh-CN"/>
              </w:rPr>
              <w:t>100</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宋体"/>
                <w:lang w:val="en-US" w:eastAsia="zh-CN"/>
              </w:rPr>
            </w:pPr>
            <w:r>
              <w:rPr>
                <w:rFonts w:hint="eastAsia"/>
                <w:lang w:val="en-US" w:eastAsia="zh-CN"/>
              </w:rPr>
              <w:t>[</w:t>
            </w:r>
            <w:r>
              <w:rPr>
                <w:rFonts w:hint="eastAsia"/>
                <w:lang w:val="en-US"/>
              </w:rPr>
              <w:t>n2</w:t>
            </w:r>
            <w:r>
              <w:rPr>
                <w:rFonts w:hint="eastAsia"/>
                <w:lang w:val="en-US" w:eastAsia="zh-CN"/>
              </w:rPr>
              <w:t>49]</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25</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35</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50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70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100</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w:t>
            </w:r>
            <w:r>
              <w:rPr>
                <w:rFonts w:hint="eastAsia"/>
                <w:lang w:val="en-US"/>
              </w:rPr>
              <w:t>n2</w:t>
            </w:r>
            <w:r>
              <w:rPr>
                <w:rFonts w:hint="eastAsia"/>
                <w:lang w:val="en-US" w:eastAsia="zh-CN"/>
              </w:rPr>
              <w:t>48]</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25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ascii="Arial" w:hAnsi="Arial" w:eastAsia="宋体" w:cs="Times New Roman"/>
                <w:kern w:val="2"/>
                <w:sz w:val="18"/>
                <w:lang w:val="en-US" w:eastAsia="zh-CN" w:bidi="ar-SA"/>
              </w:rPr>
            </w:pP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35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50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70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100</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bl>
    <w:p>
      <w:pPr>
        <w:pStyle w:val="56"/>
      </w:pPr>
      <w:r>
        <w:t xml:space="preserve">Table </w:t>
      </w:r>
      <w:r>
        <w:rPr>
          <w:rFonts w:hint="eastAsia"/>
          <w:lang w:val="en-US" w:eastAsia="zh-CN"/>
        </w:rPr>
        <w:t>2.2</w:t>
      </w:r>
      <w:r>
        <w:t>-2: Channel bandwidths for each NTN satellite band in FR2-NTN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SAN Operating</w:t>
            </w:r>
            <w:r>
              <w:t xml:space="preserve"> Band</w:t>
            </w:r>
          </w:p>
        </w:tc>
        <w:tc>
          <w:tcPr>
            <w:tcW w:w="1701" w:type="dxa"/>
            <w:vMerge w:val="restart"/>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SCS (kHz)</w:t>
            </w:r>
          </w:p>
        </w:tc>
        <w:tc>
          <w:tcPr>
            <w:tcW w:w="4814" w:type="dxa"/>
            <w:gridSpan w:val="4"/>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701" w:type="dxa"/>
            <w:vMerge w:val="continue"/>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4" w:type="dxa"/>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5</w:t>
            </w:r>
            <w:r>
              <w:t>0</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4" w:type="dxa"/>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1</w:t>
            </w:r>
            <w:r>
              <w:t>00</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6" w:type="dxa"/>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2</w:t>
            </w:r>
            <w:r>
              <w:t>00</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0" w:type="dxa"/>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4</w:t>
            </w:r>
            <w:r>
              <w:t>00</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eastAsia="宋体" w:cs="Arial"/>
                <w:szCs w:val="18"/>
                <w:lang w:val="en-US" w:eastAsia="zh-CN"/>
              </w:rPr>
              <w:t>[n</w:t>
            </w:r>
            <w:r>
              <w:rPr>
                <w:rFonts w:hint="eastAsia" w:eastAsia="Yu Mincho" w:cs="Arial"/>
                <w:szCs w:val="18"/>
                <w:lang w:val="en-US" w:eastAsia="zh-CN"/>
              </w:rPr>
              <w:t>509]</w:t>
            </w:r>
          </w:p>
        </w:tc>
        <w:tc>
          <w:tcPr>
            <w:tcW w:w="1701"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60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6"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701"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120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50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100</w:t>
            </w:r>
          </w:p>
        </w:tc>
        <w:tc>
          <w:tcPr>
            <w:tcW w:w="1276"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200</w:t>
            </w:r>
          </w:p>
        </w:tc>
        <w:tc>
          <w:tcPr>
            <w:tcW w:w="127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eastAsia="宋体" w:cs="Arial"/>
                <w:szCs w:val="18"/>
                <w:lang w:val="en-US" w:eastAsia="zh-CN"/>
              </w:rPr>
              <w:t>[n</w:t>
            </w:r>
            <w:r>
              <w:rPr>
                <w:rFonts w:hint="eastAsia" w:eastAsia="Yu Mincho" w:cs="Arial"/>
                <w:szCs w:val="18"/>
                <w:lang w:val="en-US" w:eastAsia="zh-CN"/>
              </w:rPr>
              <w:t>508]</w:t>
            </w:r>
          </w:p>
        </w:tc>
        <w:tc>
          <w:tcPr>
            <w:tcW w:w="1701"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60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6"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701"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120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50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100</w:t>
            </w:r>
          </w:p>
        </w:tc>
        <w:tc>
          <w:tcPr>
            <w:tcW w:w="1276"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200</w:t>
            </w:r>
          </w:p>
        </w:tc>
        <w:tc>
          <w:tcPr>
            <w:tcW w:w="127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400</w:t>
            </w:r>
          </w:p>
        </w:tc>
      </w:tr>
    </w:tbl>
    <w:p>
      <w:pPr>
        <w:bidi w:val="0"/>
        <w:jc w:val="both"/>
        <w:rPr>
          <w:rFonts w:hint="eastAsia"/>
          <w:b/>
          <w:bCs/>
          <w:sz w:val="20"/>
          <w:szCs w:val="18"/>
          <w:lang w:val="en-US" w:eastAsia="zh-CN"/>
        </w:rPr>
      </w:pPr>
      <w:r>
        <w:rPr>
          <w:rFonts w:hint="eastAsia"/>
          <w:b/>
          <w:bCs/>
          <w:sz w:val="20"/>
          <w:szCs w:val="18"/>
          <w:lang w:val="en-US" w:eastAsia="zh-CN"/>
        </w:rPr>
        <w:t>Proposal 2: It is proposed to define the following channel bandwidths for Ku band for two sets of bands.</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cs="Times New Roman"/>
          <w:sz w:val="20"/>
          <w:szCs w:val="20"/>
          <w:lang w:val="en-US" w:eastAsia="zh-CN"/>
        </w:rPr>
      </w:pPr>
      <w:r>
        <w:rPr>
          <w:rFonts w:hint="eastAsia" w:cs="Times New Roman"/>
          <w:sz w:val="20"/>
          <w:szCs w:val="20"/>
          <w:lang w:val="en-US" w:eastAsia="zh-CN"/>
        </w:rPr>
        <w:t>Due to the maximum supporting channel bandwidth for FR1-NTN is 30MHz with no corresponding RF requirements, if Ku band supports 25 MHz, 35 MHz, 50 MHz, 70 MHz and 100 MHz channel bandwidths with 30 kHz subcarrier spacing in FR1-NTN, it needs to specify maximum transmission bandwidth configuration, minimum guard band and the corresponding RF requirements for these channel bandwidths in FR1-NTN. And we propose to define the same maximum transmission bandwidth configuration and minimum guard band as in TS 38.101-1 for these channel bandwidths in FR1-NTN.</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eastAsia"/>
          <w:b/>
          <w:bCs/>
          <w:sz w:val="20"/>
          <w:szCs w:val="18"/>
          <w:lang w:val="en-US" w:eastAsia="zh-CN"/>
        </w:rPr>
      </w:pPr>
      <w:r>
        <w:rPr>
          <w:rFonts w:hint="eastAsia"/>
          <w:b/>
          <w:bCs/>
          <w:sz w:val="20"/>
          <w:szCs w:val="18"/>
          <w:lang w:val="en-US" w:eastAsia="zh-CN"/>
        </w:rPr>
        <w:t>Observation 1: If Ku band supports 25 MHz, 35 MHz, 50 MHz, 70 MHz and 100 MHz channel bandwidths with 30 kHz subcarrier spacing in FR1-NTN, it needs to specify maximum transmission bandwidth configuration, minimum guard band and the corresponding RF requirements for these channel bandwidths in FR1-NTN.</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b/>
          <w:bCs/>
          <w:sz w:val="20"/>
          <w:szCs w:val="18"/>
          <w:lang w:val="en-US" w:eastAsia="zh-CN"/>
        </w:rPr>
      </w:pPr>
      <w:r>
        <w:rPr>
          <w:rFonts w:hint="eastAsia"/>
          <w:b/>
          <w:bCs/>
          <w:sz w:val="20"/>
          <w:szCs w:val="18"/>
          <w:lang w:val="en-US" w:eastAsia="zh-CN"/>
        </w:rPr>
        <w:t>Proposal 3: It is proposed to define the same maximum transmission bandwidth configuration and minimum guard band as in TS 38.101-1 for 25 MHz, 35 MHz, 50 MHz, 70 MHz and 100 MHz channel bandwidths with 30 kHz SCS in FR1-NTN.</w:t>
      </w:r>
    </w:p>
    <w:p>
      <w:pPr>
        <w:pStyle w:val="3"/>
        <w:numPr>
          <w:ilvl w:val="1"/>
          <w:numId w:val="0"/>
        </w:numPr>
        <w:bidi w:val="0"/>
        <w:ind w:leftChars="0" w:right="0" w:rightChars="0"/>
        <w:rPr>
          <w:rFonts w:hint="default"/>
          <w:sz w:val="24"/>
          <w:szCs w:val="18"/>
          <w:lang w:val="en-US" w:eastAsia="zh-CN"/>
        </w:rPr>
      </w:pPr>
      <w:r>
        <w:rPr>
          <w:rFonts w:hint="eastAsia"/>
          <w:sz w:val="24"/>
          <w:szCs w:val="18"/>
          <w:lang w:val="en-US" w:eastAsia="zh-CN"/>
        </w:rPr>
        <w:t>2.3 Channel raster and sync raster</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eastAsia" w:cs="Times New Roman"/>
          <w:sz w:val="20"/>
          <w:szCs w:val="20"/>
          <w:lang w:val="en-US" w:eastAsia="zh-CN"/>
        </w:rPr>
      </w:pPr>
      <w:r>
        <w:rPr>
          <w:rFonts w:hint="eastAsia" w:cs="Times New Roman"/>
          <w:sz w:val="20"/>
          <w:szCs w:val="20"/>
          <w:lang w:val="en-US" w:eastAsia="zh-CN"/>
        </w:rPr>
        <w:t>Based on the above, we propose to define the channel raster entries and SS raster entries for Ku band as follows.</w:t>
      </w:r>
    </w:p>
    <w:p>
      <w:pPr>
        <w:pStyle w:val="56"/>
      </w:pPr>
      <w:r>
        <w:t xml:space="preserve">Table 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t>SAN operating band</w:t>
            </w:r>
          </w:p>
        </w:tc>
        <w:tc>
          <w:tcPr>
            <w:tcW w:w="1146"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ΔF</w:t>
            </w:r>
            <w:r>
              <w:rPr>
                <w:vertAlign w:val="subscript"/>
              </w:rPr>
              <w:t>Raster</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(kHz) </w:t>
            </w:r>
          </w:p>
        </w:tc>
        <w:tc>
          <w:tcPr>
            <w:tcW w:w="2876"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Uplink</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N</w:t>
            </w:r>
            <w:r>
              <w:rPr>
                <w:rFonts w:eastAsia="Yu Mincho"/>
                <w:vertAlign w:val="subscript"/>
              </w:rPr>
              <w:t>REF</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c>
          <w:tcPr>
            <w:tcW w:w="2877"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Downlink</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N</w:t>
            </w:r>
            <w:r>
              <w:rPr>
                <w:rFonts w:eastAsia="Yu Mincho"/>
                <w:vertAlign w:val="subscript"/>
              </w:rPr>
              <w:t>REF</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w:t>
            </w:r>
            <w:r>
              <w:rPr>
                <w:rFonts w:hint="eastAsia"/>
                <w:lang w:val="en-US"/>
              </w:rPr>
              <w:t>n2</w:t>
            </w:r>
            <w:r>
              <w:rPr>
                <w:rFonts w:hint="eastAsia"/>
                <w:lang w:val="en-US" w:eastAsia="zh-CN"/>
              </w:rPr>
              <w:t>49]</w:t>
            </w:r>
          </w:p>
        </w:tc>
        <w:tc>
          <w:tcPr>
            <w:tcW w:w="1146"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30</w:t>
            </w:r>
          </w:p>
        </w:tc>
        <w:tc>
          <w:tcPr>
            <w:tcW w:w="2876"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lang w:val="en-US"/>
              </w:rPr>
            </w:pPr>
            <w:r>
              <w:rPr>
                <w:rFonts w:hint="eastAsia"/>
                <w:lang w:val="en-US" w:eastAsia="zh-CN"/>
              </w:rPr>
              <w:t>1333334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1366666</w:t>
            </w:r>
          </w:p>
        </w:tc>
        <w:tc>
          <w:tcPr>
            <w:tcW w:w="2877"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1113334</w:t>
            </w:r>
            <w:r>
              <w:rPr>
                <w:rFonts w:hint="eastAsia"/>
                <w:lang w:eastAsia="zh-CN"/>
              </w:rPr>
              <w:t xml:space="preserve"> </w:t>
            </w:r>
            <w:r>
              <w:rPr>
                <w:rFonts w:eastAsia="Yu Mincho"/>
              </w:rPr>
              <w:t xml:space="preserve">– &lt;2&gt; – </w:t>
            </w:r>
            <w:r>
              <w:rPr>
                <w:rFonts w:hint="eastAsia"/>
                <w:lang w:val="en-US" w:eastAsia="zh-CN"/>
              </w:rPr>
              <w:t>125</w:t>
            </w:r>
            <w:r>
              <w:rPr>
                <w:rFonts w:hint="eastAsia"/>
                <w:lang w:eastAsia="zh-CN"/>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rFonts w:hint="eastAsia"/>
                <w:lang w:val="en-US" w:eastAsia="zh-CN"/>
              </w:rPr>
              <w:t>[</w:t>
            </w:r>
            <w:r>
              <w:rPr>
                <w:rFonts w:hint="eastAsia"/>
                <w:lang w:val="en-US"/>
              </w:rPr>
              <w:t>n2</w:t>
            </w:r>
            <w:r>
              <w:rPr>
                <w:rFonts w:hint="eastAsia"/>
                <w:lang w:val="en-US" w:eastAsia="zh-CN"/>
              </w:rPr>
              <w:t>48]</w:t>
            </w:r>
          </w:p>
        </w:tc>
        <w:tc>
          <w:tcPr>
            <w:tcW w:w="1146"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Yu Mincho"/>
                <w:lang w:val="en-US"/>
              </w:rPr>
            </w:pPr>
            <w:r>
              <w:rPr>
                <w:rFonts w:hint="eastAsia"/>
                <w:lang w:val="en-US" w:eastAsia="zh-CN"/>
              </w:rPr>
              <w:t>30</w:t>
            </w:r>
          </w:p>
        </w:tc>
        <w:tc>
          <w:tcPr>
            <w:tcW w:w="2876"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rFonts w:hint="eastAsia"/>
                <w:lang w:val="en-US" w:eastAsia="zh-CN"/>
              </w:rPr>
              <w:t>1333334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1366666</w:t>
            </w:r>
          </w:p>
        </w:tc>
        <w:tc>
          <w:tcPr>
            <w:tcW w:w="2877"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lang w:val="en-US" w:eastAsia="zh-CN"/>
              </w:rPr>
            </w:pPr>
            <w:r>
              <w:rPr>
                <w:rFonts w:hint="eastAsia"/>
                <w:lang w:val="en-US" w:eastAsia="zh-CN"/>
              </w:rPr>
              <w:t>1113334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1246666</w:t>
            </w:r>
          </w:p>
        </w:tc>
      </w:tr>
    </w:tbl>
    <w:p>
      <w:pPr>
        <w:pStyle w:val="56"/>
      </w:pPr>
    </w:p>
    <w:p>
      <w:pPr>
        <w:pStyle w:val="56"/>
        <w:rPr>
          <w:rFonts w:eastAsia="Yu Mincho"/>
        </w:rPr>
      </w:pPr>
      <w:r>
        <w:t>Table 2.3-</w:t>
      </w:r>
      <w:r>
        <w:rPr>
          <w:rFonts w:hint="eastAsia"/>
          <w:lang w:val="en-US" w:eastAsia="zh-CN"/>
        </w:rPr>
        <w:t>2</w:t>
      </w:r>
      <w:r>
        <w:t xml:space="preserve">: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ΔF</w:t>
            </w:r>
            <w:r>
              <w:rPr>
                <w:vertAlign w:val="subscript"/>
              </w:rPr>
              <w:t>Raster</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Uplink</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N</w:t>
            </w:r>
            <w:r>
              <w:rPr>
                <w:rFonts w:eastAsia="Yu Mincho"/>
                <w:vertAlign w:val="subscript"/>
              </w:rPr>
              <w:t>REF</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Downlink</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N</w:t>
            </w:r>
            <w:r>
              <w:rPr>
                <w:rFonts w:eastAsia="Yu Mincho"/>
                <w:vertAlign w:val="subscript"/>
              </w:rPr>
              <w:t>REF</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kern w:val="2"/>
                <w:sz w:val="18"/>
                <w:lang w:val="en-US" w:eastAsia="zh-CN" w:bidi="ar-SA"/>
              </w:rPr>
            </w:pPr>
            <w:r>
              <w:rPr>
                <w:rFonts w:hint="eastAsia" w:eastAsia="宋体" w:cs="Arial"/>
                <w:szCs w:val="18"/>
                <w:lang w:val="en-US" w:eastAsia="zh-CN"/>
              </w:rPr>
              <w:t>[n</w:t>
            </w:r>
            <w:r>
              <w:rPr>
                <w:rFonts w:hint="eastAsia" w:eastAsia="Yu Mincho" w:cs="Arial"/>
                <w:szCs w:val="18"/>
                <w:lang w:val="en-US" w:eastAsia="zh-CN"/>
              </w:rPr>
              <w:t>509]</w:t>
            </w:r>
          </w:p>
        </w:tc>
        <w:tc>
          <w:tcPr>
            <w:tcW w:w="114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120</w:t>
            </w:r>
          </w:p>
        </w:tc>
        <w:tc>
          <w:tcPr>
            <w:tcW w:w="287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1333334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1366666</w:t>
            </w:r>
          </w:p>
        </w:tc>
        <w:tc>
          <w:tcPr>
            <w:tcW w:w="287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val="en-US"/>
              </w:rPr>
              <w:t>1</w:t>
            </w:r>
            <w:r>
              <w:rPr>
                <w:rFonts w:hint="eastAsia"/>
                <w:lang w:val="en-US" w:eastAsia="zh-CN"/>
              </w:rPr>
              <w:t>11</w:t>
            </w:r>
            <w:r>
              <w:rPr>
                <w:lang w:val="en-US"/>
              </w:rPr>
              <w:t xml:space="preserve">3336 </w:t>
            </w:r>
            <w:r>
              <w:rPr>
                <w:rFonts w:eastAsia="Yu Mincho"/>
                <w:lang w:eastAsia="ja-JP"/>
              </w:rPr>
              <w:t xml:space="preserve"> – &lt;</w:t>
            </w:r>
            <w:r>
              <w:rPr>
                <w:lang w:val="en-US"/>
              </w:rPr>
              <w:t>8</w:t>
            </w:r>
            <w:r>
              <w:rPr>
                <w:rFonts w:eastAsia="Yu Mincho"/>
                <w:lang w:eastAsia="ja-JP"/>
              </w:rPr>
              <w:t xml:space="preserve">&gt; – </w:t>
            </w:r>
            <w:r>
              <w:rPr>
                <w:rFonts w:hint="eastAsia"/>
                <w:lang w:val="en-US" w:eastAsia="zh-CN"/>
              </w:rPr>
              <w:t>125</w:t>
            </w:r>
            <w:r>
              <w:rPr>
                <w:rFonts w:hint="eastAsia"/>
                <w:lang w:eastAsia="zh-CN"/>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kern w:val="2"/>
                <w:sz w:val="18"/>
                <w:lang w:val="en-US" w:eastAsia="zh-CN" w:bidi="ar-SA"/>
              </w:rPr>
            </w:pPr>
            <w:r>
              <w:rPr>
                <w:rFonts w:hint="eastAsia" w:eastAsia="宋体" w:cs="Arial"/>
                <w:szCs w:val="18"/>
                <w:lang w:val="en-US" w:eastAsia="zh-CN"/>
              </w:rPr>
              <w:t>[n</w:t>
            </w:r>
            <w:r>
              <w:rPr>
                <w:rFonts w:hint="eastAsia" w:eastAsia="Yu Mincho" w:cs="Arial"/>
                <w:szCs w:val="18"/>
                <w:lang w:val="en-US" w:eastAsia="zh-CN"/>
              </w:rPr>
              <w:t>508]</w:t>
            </w:r>
          </w:p>
        </w:tc>
        <w:tc>
          <w:tcPr>
            <w:tcW w:w="114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120</w:t>
            </w:r>
          </w:p>
        </w:tc>
        <w:tc>
          <w:tcPr>
            <w:tcW w:w="287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1333334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1366666</w:t>
            </w:r>
          </w:p>
        </w:tc>
        <w:tc>
          <w:tcPr>
            <w:tcW w:w="287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val="en-US"/>
              </w:rPr>
              <w:t>1</w:t>
            </w:r>
            <w:r>
              <w:rPr>
                <w:rFonts w:hint="eastAsia"/>
                <w:lang w:val="en-US" w:eastAsia="zh-CN"/>
              </w:rPr>
              <w:t>11</w:t>
            </w:r>
            <w:r>
              <w:rPr>
                <w:lang w:val="en-US"/>
              </w:rPr>
              <w:t xml:space="preserve">3336 </w:t>
            </w:r>
            <w:r>
              <w:rPr>
                <w:rFonts w:eastAsia="Yu Mincho"/>
                <w:lang w:eastAsia="ja-JP"/>
              </w:rPr>
              <w:t xml:space="preserve"> – &lt;</w:t>
            </w:r>
            <w:r>
              <w:rPr>
                <w:lang w:val="en-US"/>
              </w:rPr>
              <w:t>8</w:t>
            </w:r>
            <w:r>
              <w:rPr>
                <w:rFonts w:eastAsia="Yu Mincho"/>
                <w:lang w:eastAsia="ja-JP"/>
              </w:rPr>
              <w:t xml:space="preserve">&gt; – </w:t>
            </w:r>
            <w:r>
              <w:rPr>
                <w:lang w:val="en-US"/>
              </w:rPr>
              <w:t>1</w:t>
            </w:r>
            <w:r>
              <w:rPr>
                <w:rFonts w:hint="eastAsia"/>
                <w:lang w:val="en-US" w:eastAsia="zh-CN" w:bidi="ar"/>
              </w:rPr>
              <w:t>2</w:t>
            </w:r>
            <w:r>
              <w:rPr>
                <w:lang w:val="en-US" w:bidi="ar"/>
              </w:rPr>
              <w:t>46664</w:t>
            </w:r>
          </w:p>
        </w:tc>
      </w:tr>
    </w:tbl>
    <w:p>
      <w:pPr>
        <w:pStyle w:val="56"/>
      </w:pPr>
    </w:p>
    <w:p>
      <w:pPr>
        <w:pStyle w:val="56"/>
        <w:rPr>
          <w:lang w:eastAsia="en-US"/>
        </w:rPr>
      </w:pPr>
      <w:r>
        <w:t xml:space="preserve">Table </w:t>
      </w:r>
      <w:r>
        <w:rPr>
          <w:rFonts w:hint="eastAsia"/>
          <w:lang w:val="en-US" w:eastAsia="zh-CN"/>
        </w:rPr>
        <w:t>2</w:t>
      </w:r>
      <w:r>
        <w:t>.3-</w:t>
      </w:r>
      <w:r>
        <w:rPr>
          <w:rFonts w:hint="eastAsia"/>
          <w:lang w:val="en-US" w:eastAsia="zh-CN"/>
        </w:rPr>
        <w:t>3</w:t>
      </w:r>
      <w:r>
        <w:t>: Applicable SS raster entries per operating band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Range of GSCN</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lang w:eastAsia="en-US"/>
              </w:rPr>
            </w:pPr>
            <w:r>
              <w:rPr>
                <w:rFonts w:hint="eastAsia"/>
                <w:lang w:val="en-US" w:eastAsia="zh-CN"/>
              </w:rPr>
              <w:t>[</w:t>
            </w:r>
            <w:r>
              <w:rPr>
                <w:rFonts w:hint="eastAsia"/>
                <w:lang w:val="en-US"/>
              </w:rPr>
              <w:t>n2</w:t>
            </w:r>
            <w:r>
              <w:rPr>
                <w:rFonts w:hint="eastAsia"/>
                <w:lang w:val="en-US" w:eastAsia="zh-CN"/>
              </w:rPr>
              <w:t>49]</w:t>
            </w:r>
          </w:p>
        </w:tc>
        <w:tc>
          <w:tcPr>
            <w:tcW w:w="233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rFonts w:hint="eastAsia"/>
                <w:lang w:val="en-US" w:eastAsia="zh-CN"/>
              </w:rPr>
              <w:t>30</w:t>
            </w:r>
            <w:r>
              <w:rPr>
                <w:lang w:eastAsia="en-US"/>
              </w:rPr>
              <w:t xml:space="preserve"> kHz</w:t>
            </w:r>
          </w:p>
        </w:tc>
        <w:tc>
          <w:tcPr>
            <w:tcW w:w="2339"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eastAsia="zh-CN"/>
              </w:rPr>
            </w:pPr>
            <w:r>
              <w:t xml:space="preserve">Case </w:t>
            </w:r>
            <w:r>
              <w:rPr>
                <w:rFonts w:hint="eastAsia"/>
                <w:lang w:val="en-US" w:eastAsia="zh-CN"/>
              </w:rPr>
              <w:t>C</w:t>
            </w:r>
          </w:p>
        </w:tc>
        <w:tc>
          <w:tcPr>
            <w:tcW w:w="2333"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12850</w:t>
            </w:r>
            <w:r>
              <w:t xml:space="preserve"> – &lt;1&gt; – </w:t>
            </w:r>
            <w:r>
              <w:rPr>
                <w:rFonts w:hint="eastAsia"/>
                <w:lang w:val="en-US" w:eastAsia="zh-CN"/>
              </w:rPr>
              <w:t>14266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rFonts w:hint="eastAsia"/>
                <w:lang w:val="en-US" w:eastAsia="zh-CN"/>
              </w:rPr>
              <w:t>[</w:t>
            </w:r>
            <w:r>
              <w:rPr>
                <w:rFonts w:hint="eastAsia"/>
                <w:lang w:val="en-US"/>
              </w:rPr>
              <w:t>n2</w:t>
            </w:r>
            <w:r>
              <w:rPr>
                <w:rFonts w:hint="eastAsia"/>
                <w:lang w:val="en-US" w:eastAsia="zh-CN"/>
              </w:rPr>
              <w:t>48]</w:t>
            </w:r>
          </w:p>
        </w:tc>
        <w:tc>
          <w:tcPr>
            <w:tcW w:w="233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eastAsia="zh-CN"/>
              </w:rPr>
            </w:pPr>
            <w:r>
              <w:t xml:space="preserve">Case </w:t>
            </w:r>
            <w:r>
              <w:rPr>
                <w:rFonts w:hint="eastAsia"/>
                <w:lang w:val="en-US" w:eastAsia="zh-CN"/>
              </w:rPr>
              <w:t>C</w:t>
            </w:r>
          </w:p>
        </w:tc>
        <w:tc>
          <w:tcPr>
            <w:tcW w:w="233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12850</w:t>
            </w:r>
            <w:r>
              <w:t xml:space="preserve"> – &lt;1&gt; – </w:t>
            </w:r>
            <w:r>
              <w:rPr>
                <w:rFonts w:hint="eastAsia"/>
                <w:lang w:val="en-US" w:eastAsia="zh-CN"/>
              </w:rPr>
              <w:t>14232</w:t>
            </w:r>
          </w:p>
        </w:tc>
      </w:tr>
    </w:tbl>
    <w:p>
      <w:pPr>
        <w:rPr>
          <w:rFonts w:eastAsia="Yu Mincho"/>
          <w:lang w:eastAsia="en-US"/>
        </w:rPr>
      </w:pPr>
    </w:p>
    <w:p>
      <w:pPr>
        <w:pStyle w:val="56"/>
        <w:rPr>
          <w:rFonts w:eastAsia="Yu Mincho"/>
        </w:rPr>
      </w:pPr>
      <w:r>
        <w:rPr>
          <w:rFonts w:eastAsia="Yu Mincho"/>
        </w:rPr>
        <w:t xml:space="preserve">Table </w:t>
      </w:r>
      <w:r>
        <w:rPr>
          <w:rFonts w:hint="eastAsia" w:eastAsia="宋体"/>
          <w:lang w:val="en-US" w:eastAsia="zh-CN"/>
        </w:rPr>
        <w:t>2</w:t>
      </w:r>
      <w:r>
        <w:rPr>
          <w:rFonts w:eastAsia="Yu Mincho"/>
        </w:rPr>
        <w:t>.3-</w:t>
      </w:r>
      <w:r>
        <w:rPr>
          <w:rFonts w:hint="eastAsia" w:eastAsia="宋体"/>
          <w:lang w:val="en-US" w:eastAsia="zh-CN"/>
        </w:rPr>
        <w:t>4</w:t>
      </w:r>
      <w:r>
        <w:rPr>
          <w:rFonts w:eastAsia="Yu Mincho"/>
        </w:rPr>
        <w:t xml:space="preserve">: Applicable SS raster entries per </w:t>
      </w:r>
      <w:r>
        <w:rPr>
          <w:rFonts w:eastAsia="Yu Mincho"/>
          <w:iCs/>
        </w:rPr>
        <w:t>operating band</w:t>
      </w:r>
      <w:r>
        <w:rPr>
          <w:rFonts w:eastAsia="Yu Mincho"/>
        </w:rPr>
        <w:t xml:space="preserve"> (FR2-NTN)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t>SAN operating band</w:t>
            </w:r>
          </w:p>
        </w:tc>
        <w:tc>
          <w:tcPr>
            <w:tcW w:w="2165"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t>SS Block SCS</w:t>
            </w:r>
          </w:p>
        </w:tc>
        <w:tc>
          <w:tcPr>
            <w:tcW w:w="182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t>SS Block pattern</w:t>
            </w:r>
            <w:r>
              <w:br w:type="textWrapping"/>
            </w:r>
            <w:r>
              <w:t>(NOTE)</w:t>
            </w:r>
          </w:p>
        </w:tc>
        <w:tc>
          <w:tcPr>
            <w:tcW w:w="2593"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vertAlign w:val="subscript"/>
              </w:rPr>
            </w:pPr>
            <w:r>
              <w:t>Range of GSCN</w:t>
            </w:r>
          </w:p>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val="en-US" w:eastAsia="ko-KR"/>
              </w:rPr>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rPr>
                <w:rFonts w:hint="eastAsia" w:eastAsia="宋体" w:cs="Arial"/>
                <w:szCs w:val="18"/>
                <w:lang w:val="en-US" w:eastAsia="zh-CN"/>
              </w:rPr>
              <w:t>[n</w:t>
            </w:r>
            <w:r>
              <w:rPr>
                <w:rFonts w:hint="eastAsia" w:eastAsia="Yu Mincho" w:cs="Arial"/>
                <w:szCs w:val="18"/>
                <w:lang w:val="en-US" w:eastAsia="zh-CN"/>
              </w:rPr>
              <w:t>509]</w:t>
            </w:r>
          </w:p>
        </w:tc>
        <w:tc>
          <w:tcPr>
            <w:tcW w:w="216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rFonts w:hint="eastAsia"/>
                <w:lang w:val="en-US" w:eastAsia="zh-CN"/>
              </w:rPr>
              <w:t>12864</w:t>
            </w:r>
            <w:r>
              <w:rPr>
                <w:lang w:eastAsia="ko-KR"/>
              </w:rPr>
              <w:t xml:space="preserve"> – &lt;12&gt; – </w:t>
            </w:r>
            <w:r>
              <w:rPr>
                <w:rFonts w:hint="eastAsia"/>
                <w:lang w:val="en-US" w:eastAsia="zh-CN"/>
              </w:rPr>
              <w:t>14256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rFonts w:hint="eastAsia"/>
                <w:lang w:val="en-US" w:eastAsia="zh-CN"/>
              </w:rPr>
              <w:t>12888</w:t>
            </w:r>
            <w:r>
              <w:rPr>
                <w:lang w:val="en-US"/>
              </w:rPr>
              <w:t xml:space="preserve"> </w:t>
            </w:r>
            <w:r>
              <w:rPr>
                <w:lang w:eastAsia="ko-KR"/>
              </w:rPr>
              <w:t xml:space="preserve">– &lt;24&gt; – </w:t>
            </w:r>
            <w:r>
              <w:rPr>
                <w:rFonts w:hint="eastAsia"/>
                <w:lang w:val="en-US" w:eastAsia="zh-CN"/>
              </w:rPr>
              <w:t>14232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rPr>
                <w:rFonts w:hint="eastAsia" w:eastAsia="宋体" w:cs="Arial"/>
                <w:szCs w:val="18"/>
                <w:lang w:val="en-US" w:eastAsia="zh-CN"/>
              </w:rPr>
              <w:t>[n</w:t>
            </w:r>
            <w:r>
              <w:rPr>
                <w:rFonts w:hint="eastAsia" w:eastAsia="Yu Mincho" w:cs="Arial"/>
                <w:szCs w:val="18"/>
                <w:lang w:val="en-US" w:eastAsia="zh-CN"/>
              </w:rPr>
              <w:t>508]</w:t>
            </w:r>
          </w:p>
        </w:tc>
        <w:tc>
          <w:tcPr>
            <w:tcW w:w="216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rFonts w:hint="eastAsia"/>
                <w:lang w:val="en-US" w:eastAsia="zh-CN"/>
              </w:rPr>
              <w:t>12864</w:t>
            </w:r>
            <w:r>
              <w:rPr>
                <w:lang w:eastAsia="ko-KR"/>
              </w:rPr>
              <w:t xml:space="preserve"> – &lt;12&gt; – </w:t>
            </w:r>
            <w:r>
              <w:rPr>
                <w:rFonts w:hint="eastAsia"/>
                <w:lang w:val="en-US" w:eastAsia="zh-CN"/>
              </w:rPr>
              <w:t>14220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rFonts w:hint="eastAsia"/>
                <w:lang w:val="en-US" w:eastAsia="zh-CN"/>
              </w:rPr>
              <w:t xml:space="preserve">12888 </w:t>
            </w:r>
            <w:r>
              <w:rPr>
                <w:lang w:eastAsia="ko-KR"/>
              </w:rPr>
              <w:t xml:space="preserve">– &lt;24&gt; – </w:t>
            </w:r>
            <w:r>
              <w:rPr>
                <w:rFonts w:hint="eastAsia"/>
                <w:lang w:val="en-US" w:eastAsia="zh-CN"/>
              </w:rPr>
              <w:t>14208</w:t>
            </w:r>
          </w:p>
        </w:tc>
      </w:tr>
    </w:tbl>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cs="Times New Roman"/>
          <w:sz w:val="20"/>
          <w:szCs w:val="20"/>
          <w:lang w:val="en-US" w:eastAsia="zh-CN"/>
        </w:rPr>
      </w:pP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b/>
          <w:bCs/>
          <w:sz w:val="20"/>
          <w:szCs w:val="18"/>
          <w:lang w:val="en-US" w:eastAsia="zh-CN"/>
        </w:rPr>
      </w:pPr>
      <w:r>
        <w:rPr>
          <w:rFonts w:hint="eastAsia"/>
          <w:b/>
          <w:bCs/>
          <w:sz w:val="20"/>
          <w:szCs w:val="18"/>
          <w:lang w:val="en-US" w:eastAsia="zh-CN"/>
        </w:rPr>
        <w:t>Proposal 4: It is proposed to define the channel raster entries and SS raster entries for Ku band as follows.</w:t>
      </w:r>
    </w:p>
    <w:p>
      <w:pPr>
        <w:pStyle w:val="3"/>
        <w:numPr>
          <w:ilvl w:val="1"/>
          <w:numId w:val="0"/>
        </w:numPr>
        <w:bidi w:val="0"/>
        <w:ind w:leftChars="0" w:right="0" w:rightChars="0"/>
        <w:rPr>
          <w:rFonts w:hint="default"/>
          <w:sz w:val="24"/>
          <w:szCs w:val="18"/>
          <w:lang w:val="en-US" w:eastAsia="zh-CN"/>
        </w:rPr>
      </w:pPr>
      <w:r>
        <w:rPr>
          <w:rFonts w:hint="eastAsia"/>
          <w:sz w:val="24"/>
          <w:szCs w:val="18"/>
          <w:lang w:val="en-US" w:eastAsia="zh-CN"/>
        </w:rPr>
        <w:t>2.4 TX-RX frequency separation</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cs="Times New Roman"/>
          <w:sz w:val="20"/>
          <w:szCs w:val="20"/>
          <w:lang w:val="en-US" w:eastAsia="zh-CN"/>
        </w:rPr>
      </w:pPr>
      <w:r>
        <w:rPr>
          <w:rFonts w:hint="eastAsia" w:cs="Times New Roman"/>
          <w:sz w:val="20"/>
          <w:szCs w:val="20"/>
          <w:lang w:val="en-US" w:eastAsia="zh-CN"/>
        </w:rPr>
        <w:t>For Ku band in FR1-NTN, TX-RX frequency separation needs to be defined. So we propose to specify the default TX-RX frequency separation for Ku band in FR1-NTN.</w:t>
      </w:r>
    </w:p>
    <w:p>
      <w:pPr>
        <w:pStyle w:val="56"/>
      </w:pPr>
      <w:r>
        <w:t xml:space="preserve">Table </w:t>
      </w:r>
      <w:r>
        <w:rPr>
          <w:rFonts w:hint="eastAsia"/>
          <w:lang w:val="en-US" w:eastAsia="zh-CN"/>
        </w:rPr>
        <w:t>2</w:t>
      </w:r>
      <w:r>
        <w:t>.4-1: UE TX-RX frequency separation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NTN Satellite Operating Band</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 xml:space="preserve">TX </w:t>
            </w:r>
            <w:r>
              <w:rPr>
                <w:rFonts w:ascii="Arial" w:hAnsi="Arial" w:cs="v5.0.0"/>
                <w:b/>
                <w:sz w:val="18"/>
                <w:lang w:val="fr-FR"/>
              </w:rPr>
              <w:t>–</w:t>
            </w:r>
            <w:r>
              <w:rPr>
                <w:rFonts w:ascii="Arial" w:hAnsi="Arial" w:cs="Arial"/>
                <w:b/>
                <w:sz w:val="18"/>
                <w:lang w:val="fr-FR"/>
              </w:rPr>
              <w:t xml:space="preserve"> RX </w:t>
            </w:r>
            <w:r>
              <w:rPr>
                <w:rFonts w:ascii="Arial" w:hAnsi="Arial" w:cs="Arial"/>
                <w:b/>
                <w:sz w:val="18"/>
                <w:lang w:val="fr-FR"/>
              </w:rPr>
              <w:br w:type="textWrapping"/>
            </w:r>
            <w:r>
              <w:rPr>
                <w:rFonts w:ascii="Arial" w:hAnsi="Arial" w:cs="Arial"/>
                <w:b/>
                <w:sz w:val="18"/>
                <w:lang w:val="fr-FR"/>
              </w:rPr>
              <w:t>carrier centre frequency</w:t>
            </w:r>
            <w:r>
              <w:rPr>
                <w:rFonts w:ascii="Arial" w:hAnsi="Arial" w:cs="Arial"/>
                <w:b/>
                <w:sz w:val="18"/>
                <w:lang w:val="fr-FR"/>
              </w:rPr>
              <w:br w:type="textWrapping"/>
            </w:r>
            <w:r>
              <w:rPr>
                <w:rFonts w:ascii="Arial" w:hAnsi="Arial" w:cs="Arial"/>
                <w:b/>
                <w:sz w:val="18"/>
                <w:lang w:val="fr-FR"/>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lang w:val="fr-FR"/>
              </w:rPr>
            </w:pPr>
            <w:r>
              <w:rPr>
                <w:rFonts w:hint="eastAsia"/>
                <w:lang w:val="en-US" w:eastAsia="zh-CN"/>
              </w:rPr>
              <w:t>[</w:t>
            </w:r>
            <w:r>
              <w:rPr>
                <w:rFonts w:hint="eastAsia"/>
                <w:lang w:val="en-US"/>
              </w:rPr>
              <w:t>n2</w:t>
            </w:r>
            <w:r>
              <w:rPr>
                <w:rFonts w:hint="eastAsia"/>
                <w:lang w:val="en-US" w:eastAsia="zh-CN"/>
              </w:rPr>
              <w:t>49]</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-2525</w:t>
            </w:r>
            <w:r>
              <w:rPr>
                <w:rFonts w:ascii="Arial" w:hAnsi="Arial" w:cs="Arial"/>
                <w:sz w:val="18"/>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lang w:val="fr-FR"/>
              </w:rPr>
            </w:pPr>
            <w:r>
              <w:rPr>
                <w:rFonts w:hint="eastAsia"/>
                <w:lang w:val="en-US" w:eastAsia="zh-CN"/>
              </w:rPr>
              <w:t>[</w:t>
            </w:r>
            <w:r>
              <w:rPr>
                <w:rFonts w:hint="eastAsia"/>
                <w:lang w:val="en-US"/>
              </w:rPr>
              <w:t>n2</w:t>
            </w:r>
            <w:r>
              <w:rPr>
                <w:rFonts w:hint="eastAsia"/>
                <w:lang w:val="en-US" w:eastAsia="zh-CN"/>
              </w:rPr>
              <w:t>48]</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-2550</w:t>
            </w:r>
            <w:r>
              <w:rPr>
                <w:rFonts w:ascii="Arial" w:hAnsi="Arial" w:cs="Arial"/>
                <w:sz w:val="18"/>
                <w:lang w:val="en-US"/>
              </w:rPr>
              <w:t xml:space="preserve"> MHz</w:t>
            </w:r>
          </w:p>
        </w:tc>
      </w:tr>
    </w:tbl>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b/>
          <w:bCs/>
          <w:sz w:val="20"/>
          <w:szCs w:val="18"/>
          <w:lang w:val="en-US" w:eastAsia="zh-CN"/>
        </w:rPr>
      </w:pPr>
      <w:r>
        <w:rPr>
          <w:rFonts w:hint="eastAsia"/>
          <w:b/>
          <w:bCs/>
          <w:sz w:val="20"/>
          <w:szCs w:val="18"/>
          <w:lang w:val="en-US" w:eastAsia="zh-CN"/>
        </w:rPr>
        <w:t>Proposal 5: It is proposed to specify the default TX-RX frequency separation for Ku band in FR1-NTN as follows.</w:t>
      </w:r>
    </w:p>
    <w:p>
      <w:pPr>
        <w:pStyle w:val="34"/>
        <w:numPr>
          <w:ilvl w:val="0"/>
          <w:numId w:val="0"/>
        </w:numPr>
        <w:overflowPunct w:val="0"/>
        <w:autoSpaceDE w:val="0"/>
        <w:autoSpaceDN w:val="0"/>
        <w:adjustRightInd w:val="0"/>
        <w:spacing w:after="180"/>
        <w:textAlignment w:val="baseline"/>
        <w:rPr>
          <w:rFonts w:hint="default"/>
          <w:b/>
          <w:bCs/>
          <w:sz w:val="20"/>
          <w:szCs w:val="18"/>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system parameters</w:t>
      </w:r>
      <w:r>
        <w:rPr>
          <w:rFonts w:hint="eastAsia" w:ascii="Times New Roman" w:hAnsi="Times New Roman" w:eastAsia="宋体" w:cs="Times New Roman"/>
          <w:b w:val="0"/>
          <w:bCs w:val="0"/>
          <w:kern w:val="0"/>
          <w:sz w:val="20"/>
          <w:szCs w:val="20"/>
          <w:highlight w:val="none"/>
          <w:lang w:val="en-US" w:eastAsia="zh-CN" w:bidi="ar-SA"/>
        </w:rPr>
        <w:t xml:space="preserve"> for NTN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 xml:space="preserve"> is</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jc w:val="both"/>
        <w:rPr>
          <w:rFonts w:hint="default" w:cs="Times New Roman"/>
          <w:sz w:val="20"/>
          <w:szCs w:val="20"/>
          <w:lang w:val="en-US" w:eastAsia="zh-CN"/>
        </w:rPr>
      </w:pPr>
      <w:r>
        <w:rPr>
          <w:rFonts w:hint="eastAsia"/>
          <w:b/>
          <w:bCs/>
          <w:sz w:val="20"/>
          <w:szCs w:val="18"/>
          <w:lang w:val="en-US" w:eastAsia="zh-CN"/>
        </w:rPr>
        <w:t>Proposal 1: It is proposed to specify the following band definitions for Ku band, which is shown in Table 2.1-1 and Table 2.1-2.</w:t>
      </w:r>
    </w:p>
    <w:p>
      <w:pPr>
        <w:pStyle w:val="56"/>
        <w:spacing w:before="120" w:after="120"/>
        <w:ind w:left="576"/>
        <w:rPr>
          <w:rFonts w:cs="Arial"/>
        </w:rPr>
      </w:pPr>
      <w:r>
        <w:rPr>
          <w:rFonts w:cs="Arial"/>
        </w:rPr>
        <w:t xml:space="preserve">Table </w:t>
      </w:r>
      <w:r>
        <w:rPr>
          <w:rFonts w:hint="eastAsia" w:cs="Arial"/>
          <w:lang w:val="en-US" w:eastAsia="zh-CN"/>
        </w:rPr>
        <w:t>2.1-1</w:t>
      </w:r>
      <w:r>
        <w:rPr>
          <w:rFonts w:cs="Arial"/>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Style w:val="24"/>
        <w:tblW w:w="412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2615"/>
        <w:gridCol w:w="2908"/>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Satellite operating band</w:t>
            </w:r>
          </w:p>
        </w:tc>
        <w:tc>
          <w:tcPr>
            <w:tcW w:w="160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rPr>
            </w:pPr>
            <w:r>
              <w:rPr>
                <w:rFonts w:eastAsia="Yu Mincho" w:cs="Arial"/>
                <w:szCs w:val="18"/>
              </w:rPr>
              <w:t>Uplink (UL) operating band</w:t>
            </w:r>
            <w:r>
              <w:rPr>
                <w:rFonts w:eastAsia="Yu Mincho" w:cs="Arial"/>
                <w:szCs w:val="18"/>
              </w:rPr>
              <w:br w:type="textWrapping"/>
            </w:r>
            <w:r>
              <w:rPr>
                <w:rFonts w:eastAsia="Yu Mincho" w:cs="Arial"/>
                <w:szCs w:val="18"/>
                <w:lang w:val="en-US"/>
              </w:rPr>
              <w:t>SAN</w:t>
            </w:r>
            <w:r>
              <w:rPr>
                <w:rFonts w:eastAsia="Yu Mincho" w:cs="Arial"/>
                <w:szCs w:val="18"/>
              </w:rPr>
              <w:t xml:space="preserve"> receive / UE transmit</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F</w:t>
            </w:r>
            <w:r>
              <w:rPr>
                <w:rFonts w:eastAsia="Yu Mincho" w:cs="Arial"/>
                <w:szCs w:val="18"/>
                <w:vertAlign w:val="subscript"/>
              </w:rPr>
              <w:t>UL,low</w:t>
            </w:r>
            <w:r>
              <w:rPr>
                <w:rFonts w:eastAsia="Yu Mincho" w:cs="Arial"/>
                <w:szCs w:val="18"/>
              </w:rPr>
              <w:t xml:space="preserve">   –  F</w:t>
            </w:r>
            <w:r>
              <w:rPr>
                <w:rFonts w:eastAsia="Yu Mincho" w:cs="Arial"/>
                <w:szCs w:val="18"/>
                <w:vertAlign w:val="subscript"/>
              </w:rPr>
              <w:t>UL,high</w:t>
            </w:r>
          </w:p>
        </w:tc>
        <w:tc>
          <w:tcPr>
            <w:tcW w:w="178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rPr>
            </w:pPr>
            <w:r>
              <w:rPr>
                <w:rFonts w:eastAsia="Yu Mincho" w:cs="Arial"/>
                <w:szCs w:val="18"/>
              </w:rPr>
              <w:t>Downlink (DL) operating band</w:t>
            </w:r>
            <w:r>
              <w:rPr>
                <w:rFonts w:eastAsia="Yu Mincho" w:cs="Arial"/>
                <w:szCs w:val="18"/>
              </w:rPr>
              <w:br w:type="textWrapping"/>
            </w:r>
            <w:r>
              <w:rPr>
                <w:rFonts w:eastAsia="Yu Mincho" w:cs="Arial"/>
                <w:szCs w:val="18"/>
                <w:lang w:val="en-US"/>
              </w:rPr>
              <w:t>SAN</w:t>
            </w:r>
            <w:r>
              <w:rPr>
                <w:rFonts w:eastAsia="Yu Mincho" w:cs="Arial"/>
                <w:szCs w:val="18"/>
              </w:rPr>
              <w:t xml:space="preserve"> transmit / UE receive</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F</w:t>
            </w:r>
            <w:r>
              <w:rPr>
                <w:rFonts w:eastAsia="Yu Mincho" w:cs="Arial"/>
                <w:szCs w:val="18"/>
                <w:vertAlign w:val="subscript"/>
              </w:rPr>
              <w:t>DL,low</w:t>
            </w:r>
            <w:r>
              <w:rPr>
                <w:rFonts w:eastAsia="Yu Mincho" w:cs="Arial"/>
                <w:szCs w:val="18"/>
              </w:rPr>
              <w:t xml:space="preserve">   –  F</w:t>
            </w:r>
            <w:r>
              <w:rPr>
                <w:rFonts w:eastAsia="Yu Mincho" w:cs="Arial"/>
                <w:szCs w:val="18"/>
                <w:vertAlign w:val="subscript"/>
              </w:rPr>
              <w:t>DL,high</w:t>
            </w:r>
          </w:p>
        </w:tc>
        <w:tc>
          <w:tcPr>
            <w:tcW w:w="71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hint="eastAsia" w:eastAsia="宋体" w:cs="Arial"/>
                <w:szCs w:val="18"/>
                <w:lang w:val="en-US" w:eastAsia="zh-CN"/>
              </w:rPr>
              <w:t>[n</w:t>
            </w:r>
            <w:r>
              <w:rPr>
                <w:rFonts w:hint="eastAsia" w:eastAsia="Yu Mincho" w:cs="Arial"/>
                <w:szCs w:val="18"/>
                <w:lang w:val="en-US" w:eastAsia="zh-CN"/>
              </w:rPr>
              <w:t>249]</w:t>
            </w:r>
            <w:r>
              <w:rPr>
                <w:rFonts w:eastAsia="Yu Mincho" w:cs="Arial"/>
                <w:szCs w:val="18"/>
              </w:rPr>
              <w:t>(Note 1)</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en-US" w:eastAsia="zh-CN"/>
              </w:rPr>
              <w:t>140</w:t>
            </w:r>
            <w:r>
              <w:rPr>
                <w:rFonts w:eastAsia="Yu Mincho" w:cs="Arial"/>
                <w:szCs w:val="18"/>
                <w:lang w:val="sv-SE"/>
              </w:rPr>
              <w:t xml:space="preserve">00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1275</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hint="eastAsia" w:eastAsia="宋体" w:cs="Arial"/>
                <w:szCs w:val="18"/>
                <w:lang w:val="en-US" w:eastAsia="zh-CN"/>
              </w:rPr>
              <w:t>[n</w:t>
            </w:r>
            <w:r>
              <w:rPr>
                <w:rFonts w:hint="eastAsia" w:eastAsia="Yu Mincho" w:cs="Arial"/>
                <w:szCs w:val="18"/>
                <w:lang w:val="en-US" w:eastAsia="zh-CN"/>
              </w:rPr>
              <w:t>248]</w:t>
            </w:r>
            <w:r>
              <w:rPr>
                <w:rFonts w:eastAsia="Yu Mincho" w:cs="Arial"/>
                <w:szCs w:val="18"/>
              </w:rPr>
              <w:t>(Note 2)</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en-US" w:eastAsia="zh-CN"/>
              </w:rPr>
              <w:t>1400</w:t>
            </w:r>
            <w:r>
              <w:rPr>
                <w:rFonts w:eastAsia="Yu Mincho" w:cs="Arial"/>
                <w:szCs w:val="18"/>
                <w:lang w:val="sv-SE"/>
              </w:rPr>
              <w:t xml:space="preserve">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1270</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overflowPunct/>
              <w:topLinePunct w:val="0"/>
              <w:autoSpaceDE/>
              <w:autoSpaceDN/>
              <w:bidi w:val="0"/>
              <w:adjustRightInd/>
              <w:snapToGrid/>
              <w:spacing w:beforeLines="0" w:after="180" w:afterLines="0" w:line="240" w:lineRule="auto"/>
              <w:ind w:left="850" w:hanging="850"/>
              <w:textAlignment w:val="auto"/>
              <w:rPr>
                <w:rFonts w:eastAsia="Yu Mincho" w:cs="Arial"/>
                <w:szCs w:val="18"/>
              </w:rPr>
            </w:pPr>
            <w:r>
              <w:rPr>
                <w:rFonts w:eastAsia="Yu Mincho" w:cs="Arial"/>
                <w:szCs w:val="18"/>
              </w:rPr>
              <w:t>NOTE 1:</w:t>
            </w:r>
            <w:r>
              <w:rPr>
                <w:rFonts w:eastAsia="Yu Mincho" w:cs="Arial"/>
                <w:szCs w:val="18"/>
              </w:rPr>
              <w:tab/>
            </w:r>
            <w:r>
              <w:rPr>
                <w:rFonts w:eastAsia="Yu Mincho"/>
              </w:rPr>
              <w:t xml:space="preserve">This band is applicable in the countries </w:t>
            </w:r>
            <w:r>
              <w:rPr>
                <w:rFonts w:eastAsia="Yu Mincho"/>
                <w:lang w:val="en-GB"/>
              </w:rPr>
              <w:t xml:space="preserve">and or regions </w:t>
            </w:r>
            <w:r>
              <w:rPr>
                <w:rFonts w:eastAsia="Yu Mincho"/>
              </w:rPr>
              <w:t xml:space="preserve">subject to </w:t>
            </w:r>
            <w:r>
              <w:rPr>
                <w:rFonts w:eastAsia="Yu Mincho"/>
                <w:lang w:val="en-GB"/>
              </w:rPr>
              <w:t xml:space="preserve">or referring to </w:t>
            </w:r>
            <w:r>
              <w:rPr>
                <w:rFonts w:eastAsia="Yu Mincho"/>
              </w:rPr>
              <w:t>CEPT ECC Decision(05)01 and ECC Decision (13)01.</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ind w:left="850" w:hanging="850"/>
              <w:textAlignment w:val="auto"/>
              <w:rPr>
                <w:rFonts w:eastAsia="Yu Mincho" w:cs="Arial"/>
                <w:szCs w:val="18"/>
              </w:rPr>
            </w:pPr>
            <w:r>
              <w:rPr>
                <w:rFonts w:eastAsia="Yu Mincho" w:cs="Arial"/>
                <w:szCs w:val="18"/>
              </w:rPr>
              <w:t>NOTE 2:</w:t>
            </w:r>
            <w:r>
              <w:rPr>
                <w:rFonts w:eastAsia="Yu Mincho" w:cs="Arial"/>
                <w:szCs w:val="18"/>
              </w:rPr>
              <w:tab/>
            </w:r>
            <w:r>
              <w:rPr>
                <w:rFonts w:eastAsia="Yu Mincho" w:cs="Arial"/>
                <w:szCs w:val="18"/>
              </w:rPr>
              <w:t xml:space="preserve">This band is applicable in the </w:t>
            </w:r>
            <w:r>
              <w:rPr>
                <w:rFonts w:eastAsia="Yu Mincho" w:cs="Arial"/>
                <w:szCs w:val="18"/>
                <w:lang w:val="en-US" w:eastAsia="zh-CN"/>
              </w:rPr>
              <w:t>countries</w:t>
            </w:r>
            <w:r>
              <w:rPr>
                <w:rFonts w:eastAsia="Yu Mincho" w:cs="Arial"/>
                <w:szCs w:val="18"/>
              </w:rPr>
              <w:t xml:space="preserve"> </w:t>
            </w:r>
            <w:r>
              <w:rPr>
                <w:rFonts w:eastAsia="Yu Mincho" w:cs="Arial"/>
                <w:szCs w:val="18"/>
                <w:lang w:val="en-GB"/>
              </w:rPr>
              <w:t xml:space="preserve">and or regions </w:t>
            </w:r>
            <w:r>
              <w:rPr>
                <w:rFonts w:eastAsia="Yu Mincho" w:cs="Arial"/>
                <w:szCs w:val="18"/>
              </w:rPr>
              <w:t>referring to or subject to FCC 47 CFR part 25.</w:t>
            </w:r>
          </w:p>
        </w:tc>
      </w:tr>
    </w:tbl>
    <w:p>
      <w:pPr>
        <w:pStyle w:val="56"/>
        <w:spacing w:before="120" w:after="120"/>
        <w:ind w:left="576"/>
        <w:rPr>
          <w:rFonts w:cs="Arial"/>
        </w:rPr>
      </w:pPr>
      <w:r>
        <w:rPr>
          <w:rFonts w:cs="Arial"/>
        </w:rPr>
        <w:t xml:space="preserve">Table </w:t>
      </w:r>
      <w:r>
        <w:rPr>
          <w:rFonts w:hint="eastAsia" w:cs="Arial"/>
          <w:lang w:val="en-US" w:eastAsia="zh-CN"/>
        </w:rPr>
        <w:t>2.1-2</w:t>
      </w:r>
      <w:r>
        <w:rPr>
          <w:rFonts w:cs="Arial"/>
        </w:rPr>
        <w:t xml:space="preserve">: </w:t>
      </w:r>
      <w:r>
        <w:rPr>
          <w:lang w:val="en-US"/>
        </w:rPr>
        <w:t>S</w:t>
      </w:r>
      <w:r>
        <w:rPr>
          <w:rFonts w:hint="eastAsia"/>
          <w:lang w:val="en-US"/>
        </w:rPr>
        <w:t>atellite</w:t>
      </w:r>
      <w:r>
        <w:t xml:space="preserve"> </w:t>
      </w:r>
      <w:r>
        <w:rPr>
          <w:i/>
        </w:rPr>
        <w:t>operating bands</w:t>
      </w:r>
      <w:r>
        <w:t xml:space="preserve"> in FR2-NTN</w:t>
      </w:r>
    </w:p>
    <w:tbl>
      <w:tblPr>
        <w:tblStyle w:val="24"/>
        <w:tblW w:w="4121"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3"/>
        <w:gridCol w:w="2615"/>
        <w:gridCol w:w="2908"/>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Satellite operating band</w:t>
            </w:r>
          </w:p>
        </w:tc>
        <w:tc>
          <w:tcPr>
            <w:tcW w:w="160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rPr>
            </w:pPr>
            <w:r>
              <w:rPr>
                <w:rFonts w:eastAsia="Yu Mincho" w:cs="Arial"/>
                <w:szCs w:val="18"/>
              </w:rPr>
              <w:t>Uplink (UL) operating band</w:t>
            </w:r>
            <w:r>
              <w:rPr>
                <w:rFonts w:eastAsia="Yu Mincho" w:cs="Arial"/>
                <w:szCs w:val="18"/>
              </w:rPr>
              <w:br w:type="textWrapping"/>
            </w:r>
            <w:r>
              <w:rPr>
                <w:rFonts w:eastAsia="Yu Mincho" w:cs="Arial"/>
                <w:szCs w:val="18"/>
                <w:lang w:val="en-US"/>
              </w:rPr>
              <w:t>SAN</w:t>
            </w:r>
            <w:r>
              <w:rPr>
                <w:rFonts w:eastAsia="Yu Mincho" w:cs="Arial"/>
                <w:szCs w:val="18"/>
              </w:rPr>
              <w:t xml:space="preserve"> receive / UE transmit</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F</w:t>
            </w:r>
            <w:r>
              <w:rPr>
                <w:rFonts w:eastAsia="Yu Mincho" w:cs="Arial"/>
                <w:szCs w:val="18"/>
                <w:vertAlign w:val="subscript"/>
              </w:rPr>
              <w:t>UL,low</w:t>
            </w:r>
            <w:r>
              <w:rPr>
                <w:rFonts w:eastAsia="Yu Mincho" w:cs="Arial"/>
                <w:szCs w:val="18"/>
              </w:rPr>
              <w:t xml:space="preserve">   –  F</w:t>
            </w:r>
            <w:r>
              <w:rPr>
                <w:rFonts w:eastAsia="Yu Mincho" w:cs="Arial"/>
                <w:szCs w:val="18"/>
                <w:vertAlign w:val="subscript"/>
              </w:rPr>
              <w:t>UL,high</w:t>
            </w:r>
          </w:p>
        </w:tc>
        <w:tc>
          <w:tcPr>
            <w:tcW w:w="1786"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rPr>
            </w:pPr>
            <w:r>
              <w:rPr>
                <w:rFonts w:eastAsia="Yu Mincho" w:cs="Arial"/>
                <w:szCs w:val="18"/>
              </w:rPr>
              <w:t>Downlink (DL) operating band</w:t>
            </w:r>
            <w:r>
              <w:rPr>
                <w:rFonts w:eastAsia="Yu Mincho" w:cs="Arial"/>
                <w:szCs w:val="18"/>
              </w:rPr>
              <w:br w:type="textWrapping"/>
            </w:r>
            <w:r>
              <w:rPr>
                <w:rFonts w:eastAsia="Yu Mincho" w:cs="Arial"/>
                <w:szCs w:val="18"/>
                <w:lang w:val="en-US"/>
              </w:rPr>
              <w:t>SAN</w:t>
            </w:r>
            <w:r>
              <w:rPr>
                <w:rFonts w:eastAsia="Yu Mincho" w:cs="Arial"/>
                <w:szCs w:val="18"/>
              </w:rPr>
              <w:t xml:space="preserve"> transmit / UE receive</w:t>
            </w:r>
          </w:p>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F</w:t>
            </w:r>
            <w:r>
              <w:rPr>
                <w:rFonts w:eastAsia="Yu Mincho" w:cs="Arial"/>
                <w:szCs w:val="18"/>
                <w:vertAlign w:val="subscript"/>
              </w:rPr>
              <w:t>DL,low</w:t>
            </w:r>
            <w:r>
              <w:rPr>
                <w:rFonts w:eastAsia="Yu Mincho" w:cs="Arial"/>
                <w:szCs w:val="18"/>
              </w:rPr>
              <w:t xml:space="preserve">   –  F</w:t>
            </w:r>
            <w:r>
              <w:rPr>
                <w:rFonts w:eastAsia="Yu Mincho" w:cs="Arial"/>
                <w:szCs w:val="18"/>
                <w:vertAlign w:val="subscript"/>
              </w:rPr>
              <w:t>DL,high</w:t>
            </w:r>
          </w:p>
        </w:tc>
        <w:tc>
          <w:tcPr>
            <w:tcW w:w="713" w:type="pct"/>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bCs/>
                <w:szCs w:val="18"/>
                <w:lang w:val="sv-SE"/>
              </w:rPr>
            </w:pPr>
            <w:r>
              <w:rPr>
                <w:rFonts w:eastAsia="Yu Mincho" w:cs="Arial"/>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hint="eastAsia" w:eastAsia="宋体" w:cs="Arial"/>
                <w:szCs w:val="18"/>
                <w:lang w:val="en-US" w:eastAsia="zh-CN"/>
              </w:rPr>
              <w:t>[n</w:t>
            </w:r>
            <w:r>
              <w:rPr>
                <w:rFonts w:hint="eastAsia" w:eastAsia="Yu Mincho" w:cs="Arial"/>
                <w:szCs w:val="18"/>
                <w:lang w:val="en-US" w:eastAsia="zh-CN"/>
              </w:rPr>
              <w:t>509]</w:t>
            </w:r>
            <w:r>
              <w:rPr>
                <w:rFonts w:eastAsia="Yu Mincho" w:cs="Arial"/>
                <w:szCs w:val="18"/>
              </w:rPr>
              <w:t>(Note 1)</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en-US" w:eastAsia="zh-CN"/>
              </w:rPr>
              <w:t>140</w:t>
            </w:r>
            <w:r>
              <w:rPr>
                <w:rFonts w:eastAsia="Yu Mincho" w:cs="Arial"/>
                <w:szCs w:val="18"/>
                <w:lang w:val="sv-SE"/>
              </w:rPr>
              <w:t xml:space="preserve">00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1275</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hint="eastAsia" w:eastAsia="宋体" w:cs="Arial"/>
                <w:szCs w:val="18"/>
                <w:lang w:val="en-US" w:eastAsia="zh-CN"/>
              </w:rPr>
              <w:t>[n</w:t>
            </w:r>
            <w:r>
              <w:rPr>
                <w:rFonts w:hint="eastAsia" w:eastAsia="Yu Mincho" w:cs="Arial"/>
                <w:szCs w:val="18"/>
                <w:lang w:val="en-US" w:eastAsia="zh-CN"/>
              </w:rPr>
              <w:t>508]</w:t>
            </w:r>
            <w:r>
              <w:rPr>
                <w:rFonts w:eastAsia="Yu Mincho" w:cs="Arial"/>
                <w:szCs w:val="18"/>
              </w:rPr>
              <w:t>(Note 2)</w:t>
            </w:r>
          </w:p>
        </w:tc>
        <w:tc>
          <w:tcPr>
            <w:tcW w:w="160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en-US" w:eastAsia="zh-CN"/>
              </w:rPr>
              <w:t>1400</w:t>
            </w:r>
            <w:r>
              <w:rPr>
                <w:rFonts w:eastAsia="Yu Mincho" w:cs="Arial"/>
                <w:szCs w:val="18"/>
                <w:lang w:val="sv-SE"/>
              </w:rPr>
              <w:t xml:space="preserve">0 MHz - </w:t>
            </w:r>
            <w:r>
              <w:rPr>
                <w:rFonts w:eastAsia="Yu Mincho" w:cs="Arial"/>
                <w:szCs w:val="18"/>
                <w:lang w:val="en-US" w:eastAsia="zh-CN"/>
              </w:rPr>
              <w:t>145</w:t>
            </w:r>
            <w:r>
              <w:rPr>
                <w:rFonts w:eastAsia="Yu Mincho" w:cs="Arial"/>
                <w:szCs w:val="18"/>
                <w:lang w:val="sv-SE"/>
              </w:rPr>
              <w:t>00 MHz</w:t>
            </w:r>
          </w:p>
        </w:tc>
        <w:tc>
          <w:tcPr>
            <w:tcW w:w="1786" w:type="pct"/>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1</w:t>
            </w:r>
            <w:r>
              <w:rPr>
                <w:rFonts w:eastAsia="Yu Mincho" w:cs="Arial"/>
                <w:szCs w:val="18"/>
                <w:lang w:val="en-US" w:eastAsia="zh-CN"/>
              </w:rPr>
              <w:t>07</w:t>
            </w:r>
            <w:r>
              <w:rPr>
                <w:rFonts w:eastAsia="Yu Mincho" w:cs="Arial"/>
                <w:szCs w:val="18"/>
                <w:lang w:val="sv-SE"/>
              </w:rPr>
              <w:t xml:space="preserve">00 MHz - </w:t>
            </w:r>
            <w:r>
              <w:rPr>
                <w:rFonts w:eastAsia="Yu Mincho" w:cs="Arial"/>
                <w:szCs w:val="18"/>
                <w:lang w:val="en-US" w:eastAsia="zh-CN"/>
              </w:rPr>
              <w:t>1270</w:t>
            </w:r>
            <w:r>
              <w:rPr>
                <w:rFonts w:eastAsia="Yu Mincho" w:cs="Arial"/>
                <w:szCs w:val="18"/>
                <w:lang w:val="sv-SE"/>
              </w:rPr>
              <w:t>0 MHz</w:t>
            </w:r>
          </w:p>
        </w:tc>
        <w:tc>
          <w:tcPr>
            <w:tcW w:w="713" w:type="pct"/>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180" w:afterLines="0" w:line="240" w:lineRule="auto"/>
              <w:textAlignment w:val="auto"/>
              <w:rPr>
                <w:rFonts w:eastAsia="Yu Mincho" w:cs="Arial"/>
                <w:szCs w:val="18"/>
                <w:lang w:val="sv-SE"/>
              </w:rPr>
            </w:pPr>
            <w:r>
              <w:rPr>
                <w:rFonts w:eastAsia="Yu Mincho" w:cs="Arial"/>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70"/>
              <w:keepNext/>
              <w:keepLines/>
              <w:pageBreakBefore w:val="0"/>
              <w:widowControl/>
              <w:kinsoku/>
              <w:wordWrap/>
              <w:overflowPunct/>
              <w:topLinePunct w:val="0"/>
              <w:autoSpaceDE/>
              <w:autoSpaceDN/>
              <w:bidi w:val="0"/>
              <w:adjustRightInd/>
              <w:snapToGrid/>
              <w:spacing w:beforeLines="0" w:after="180" w:afterLines="0" w:line="240" w:lineRule="auto"/>
              <w:ind w:left="850" w:hanging="850"/>
              <w:textAlignment w:val="auto"/>
              <w:rPr>
                <w:rFonts w:eastAsia="Yu Mincho" w:cs="Arial"/>
                <w:szCs w:val="18"/>
              </w:rPr>
            </w:pPr>
            <w:r>
              <w:rPr>
                <w:rFonts w:eastAsia="Yu Mincho" w:cs="Arial"/>
                <w:szCs w:val="18"/>
              </w:rPr>
              <w:t>NOTE 1:</w:t>
            </w:r>
            <w:r>
              <w:rPr>
                <w:rFonts w:eastAsia="Yu Mincho" w:cs="Arial"/>
                <w:szCs w:val="18"/>
              </w:rPr>
              <w:tab/>
            </w:r>
            <w:r>
              <w:rPr>
                <w:rFonts w:eastAsia="Yu Mincho"/>
              </w:rPr>
              <w:t xml:space="preserve">This band is applicable in the countries </w:t>
            </w:r>
            <w:r>
              <w:rPr>
                <w:rFonts w:eastAsia="Yu Mincho"/>
                <w:lang w:val="en-GB"/>
              </w:rPr>
              <w:t xml:space="preserve">and or regions </w:t>
            </w:r>
            <w:r>
              <w:rPr>
                <w:rFonts w:eastAsia="Yu Mincho"/>
              </w:rPr>
              <w:t xml:space="preserve">subject to </w:t>
            </w:r>
            <w:r>
              <w:rPr>
                <w:rFonts w:eastAsia="Yu Mincho"/>
                <w:lang w:val="en-GB"/>
              </w:rPr>
              <w:t xml:space="preserve">or referring to </w:t>
            </w:r>
            <w:r>
              <w:rPr>
                <w:rFonts w:eastAsia="Yu Mincho"/>
              </w:rPr>
              <w:t>CEPT ECC Decision(05)01 and ECC Decision (13)01.</w:t>
            </w:r>
          </w:p>
          <w:p>
            <w:pPr>
              <w:pStyle w:val="70"/>
              <w:keepNext/>
              <w:keepLines/>
              <w:pageBreakBefore w:val="0"/>
              <w:widowControl/>
              <w:kinsoku/>
              <w:wordWrap/>
              <w:overflowPunct/>
              <w:topLinePunct w:val="0"/>
              <w:autoSpaceDE/>
              <w:autoSpaceDN/>
              <w:bidi w:val="0"/>
              <w:adjustRightInd/>
              <w:snapToGrid/>
              <w:spacing w:beforeLines="0" w:after="180" w:afterLines="0" w:line="240" w:lineRule="auto"/>
              <w:ind w:left="850" w:hanging="850"/>
              <w:textAlignment w:val="auto"/>
              <w:rPr>
                <w:rFonts w:eastAsia="Yu Mincho" w:cs="Arial"/>
                <w:szCs w:val="18"/>
              </w:rPr>
            </w:pPr>
            <w:r>
              <w:rPr>
                <w:rFonts w:eastAsia="Yu Mincho" w:cs="Arial"/>
                <w:szCs w:val="18"/>
              </w:rPr>
              <w:t>NOTE 2:</w:t>
            </w:r>
            <w:r>
              <w:rPr>
                <w:rFonts w:eastAsia="Yu Mincho" w:cs="Arial"/>
                <w:szCs w:val="18"/>
              </w:rPr>
              <w:tab/>
            </w:r>
            <w:r>
              <w:rPr>
                <w:rFonts w:eastAsia="Yu Mincho" w:cs="Arial"/>
                <w:szCs w:val="18"/>
              </w:rPr>
              <w:t xml:space="preserve">This band is applicable in the </w:t>
            </w:r>
            <w:r>
              <w:rPr>
                <w:rFonts w:eastAsia="Yu Mincho" w:cs="Arial"/>
                <w:szCs w:val="18"/>
                <w:lang w:val="en-US" w:eastAsia="zh-CN"/>
              </w:rPr>
              <w:t>countries</w:t>
            </w:r>
            <w:r>
              <w:rPr>
                <w:rFonts w:eastAsia="Yu Mincho" w:cs="Arial"/>
                <w:szCs w:val="18"/>
              </w:rPr>
              <w:t xml:space="preserve"> </w:t>
            </w:r>
            <w:r>
              <w:rPr>
                <w:rFonts w:eastAsia="Yu Mincho" w:cs="Arial"/>
                <w:szCs w:val="18"/>
                <w:lang w:val="en-GB"/>
              </w:rPr>
              <w:t xml:space="preserve">and or regions </w:t>
            </w:r>
            <w:r>
              <w:rPr>
                <w:rFonts w:eastAsia="Yu Mincho" w:cs="Arial"/>
                <w:szCs w:val="18"/>
              </w:rPr>
              <w:t>referring to or subject to FCC 47 CFR part 25.</w:t>
            </w:r>
          </w:p>
        </w:tc>
      </w:tr>
    </w:tbl>
    <w:p>
      <w:pPr>
        <w:bidi w:val="0"/>
        <w:jc w:val="both"/>
        <w:rPr>
          <w:rFonts w:hint="eastAsia"/>
          <w:b/>
          <w:bCs/>
          <w:sz w:val="20"/>
          <w:szCs w:val="18"/>
          <w:lang w:val="en-US" w:eastAsia="zh-CN"/>
        </w:rPr>
      </w:pPr>
      <w:r>
        <w:rPr>
          <w:rFonts w:hint="eastAsia"/>
          <w:b/>
          <w:bCs/>
          <w:sz w:val="20"/>
          <w:szCs w:val="18"/>
          <w:lang w:val="en-US" w:eastAsia="zh-CN"/>
        </w:rPr>
        <w:t>Proposal 2: It is proposed to define the following channel bandwidths for Ku band for two sets of bands.</w:t>
      </w:r>
    </w:p>
    <w:p>
      <w:pPr>
        <w:pStyle w:val="56"/>
        <w:rPr>
          <w:lang w:eastAsia="en-US"/>
        </w:rPr>
      </w:pPr>
      <w:r>
        <w:t xml:space="preserve">Table </w:t>
      </w:r>
      <w:r>
        <w:rPr>
          <w:rFonts w:hint="eastAsia"/>
          <w:lang w:val="en-US" w:eastAsia="zh-CN"/>
        </w:rPr>
        <w:t>2.2</w:t>
      </w:r>
      <w:r>
        <w:t>-1: Channel bandwidths for each NTN satellite band in FR1-NTN</w:t>
      </w:r>
    </w:p>
    <w:tbl>
      <w:tblPr>
        <w:tblStyle w:val="24"/>
        <w:tblW w:w="11125" w:type="dxa"/>
        <w:jc w:val="center"/>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132"/>
        <w:gridCol w:w="850"/>
        <w:gridCol w:w="850"/>
        <w:gridCol w:w="850"/>
        <w:gridCol w:w="850"/>
        <w:gridCol w:w="850"/>
        <w:gridCol w:w="850"/>
        <w:gridCol w:w="850"/>
        <w:gridCol w:w="850"/>
        <w:gridCol w:w="850"/>
        <w:gridCol w:w="850"/>
      </w:tblGrid>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493" w:type="dxa"/>
            <w:vMerge w:val="restart"/>
            <w:tcBorders>
              <w:top w:val="single" w:color="auto" w:sz="4" w:space="0"/>
              <w:left w:val="single" w:color="auto" w:sz="4" w:space="0"/>
              <w:righ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NTN satellite band</w:t>
            </w:r>
          </w:p>
        </w:tc>
        <w:tc>
          <w:tcPr>
            <w:tcW w:w="1132" w:type="dxa"/>
            <w:vMerge w:val="restart"/>
            <w:tcBorders>
              <w:left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SCS</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r>
              <w:t>kHz</w:t>
            </w:r>
          </w:p>
        </w:tc>
        <w:tc>
          <w:tcPr>
            <w:tcW w:w="8500" w:type="dxa"/>
            <w:gridSpan w:val="10"/>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Theme="minorEastAsia"/>
              </w:rPr>
            </w:pPr>
            <w:r>
              <w:rPr>
                <w:rFonts w:hint="eastAsia" w:eastAsiaTheme="minorEastAsia"/>
              </w:rPr>
              <w:t>U</w:t>
            </w:r>
            <w:r>
              <w:rPr>
                <w:rFonts w:eastAsiaTheme="minorEastAsia"/>
              </w:rPr>
              <w:t>E Channel bandwidth (MHz)</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PrEx>
        <w:trPr>
          <w:cantSplit/>
          <w:jc w:val="center"/>
        </w:trPr>
        <w:tc>
          <w:tcPr>
            <w:tcW w:w="1493" w:type="dxa"/>
            <w:vMerge w:val="continue"/>
            <w:tcBorders>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1132" w:type="dxa"/>
            <w:vMerge w:val="continue"/>
            <w:tcBorders>
              <w:lef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eastAsia="Yu Mincho"/>
                <w:b/>
                <w:bCs/>
              </w:rPr>
            </w:pPr>
            <w:r>
              <w:rPr>
                <w:b/>
                <w:bCs/>
              </w:rPr>
              <w:t>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eastAsia="Yu Mincho"/>
                <w:b/>
                <w:bCs/>
              </w:rPr>
            </w:pPr>
            <w:r>
              <w:rPr>
                <w:b/>
                <w:bCs/>
              </w:rPr>
              <w:t>10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eastAsia="Yu Mincho"/>
                <w:b/>
                <w:bCs/>
              </w:rPr>
            </w:pPr>
            <w:r>
              <w:rPr>
                <w:b/>
                <w:bCs/>
              </w:rPr>
              <w:t>15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eastAsia="Yu Mincho"/>
                <w:b/>
                <w:bCs/>
              </w:rPr>
            </w:pPr>
            <w:r>
              <w:rPr>
                <w:b/>
                <w:bCs/>
              </w:rPr>
              <w:t>20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default" w:eastAsia="宋体"/>
                <w:b/>
                <w:bCs/>
                <w:lang w:val="en-US" w:eastAsia="zh-CN"/>
              </w:rPr>
            </w:pPr>
            <w:r>
              <w:rPr>
                <w:rFonts w:hint="eastAsia"/>
                <w:b/>
                <w:bCs/>
                <w:lang w:val="en-US" w:eastAsia="zh-CN"/>
              </w:rPr>
              <w:t>25</w:t>
            </w:r>
          </w:p>
        </w:tc>
        <w:tc>
          <w:tcPr>
            <w:tcW w:w="850" w:type="dxa"/>
            <w:vAlign w:val="top"/>
          </w:tcPr>
          <w:p>
            <w:pPr>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ascii="Arial" w:hAnsi="Arial"/>
                <w:b/>
                <w:sz w:val="18"/>
              </w:rPr>
            </w:pPr>
            <w:r>
              <w:rPr>
                <w:rFonts w:ascii="Arial" w:hAnsi="Arial"/>
                <w:b/>
                <w:sz w:val="18"/>
              </w:rPr>
              <w:t>30</w:t>
            </w:r>
          </w:p>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pPr>
            <w:r>
              <w:rPr>
                <w:b/>
              </w:rPr>
              <w:t>(NOTE)</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default" w:eastAsia="宋体"/>
                <w:b/>
                <w:lang w:val="en-US" w:eastAsia="zh-CN"/>
              </w:rPr>
            </w:pPr>
            <w:r>
              <w:rPr>
                <w:rFonts w:hint="eastAsia"/>
                <w:b/>
                <w:lang w:val="en-US" w:eastAsia="zh-CN"/>
              </w:rPr>
              <w:t>35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default"/>
                <w:b/>
                <w:lang w:val="en-US" w:eastAsia="zh-CN"/>
              </w:rPr>
            </w:pPr>
            <w:r>
              <w:rPr>
                <w:rFonts w:hint="eastAsia"/>
                <w:b/>
                <w:lang w:val="en-US" w:eastAsia="zh-CN"/>
              </w:rPr>
              <w:t>50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default"/>
                <w:b/>
                <w:lang w:val="en-US" w:eastAsia="zh-CN"/>
              </w:rPr>
            </w:pPr>
            <w:r>
              <w:rPr>
                <w:rFonts w:hint="eastAsia"/>
                <w:b/>
                <w:lang w:val="en-US" w:eastAsia="zh-CN"/>
              </w:rPr>
              <w:t>70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jc w:val="center"/>
              <w:textAlignment w:val="auto"/>
              <w:rPr>
                <w:rFonts w:hint="eastAsia"/>
                <w:b/>
                <w:lang w:val="en-US" w:eastAsia="zh-CN"/>
              </w:rPr>
            </w:pPr>
            <w:r>
              <w:rPr>
                <w:rFonts w:hint="eastAsia"/>
                <w:b/>
                <w:lang w:val="en-US" w:eastAsia="zh-CN"/>
              </w:rPr>
              <w:t>100</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auto" w:sz="4" w:space="0"/>
              <w:bottom w:val="single" w:color="FFFFFF" w:themeColor="background1"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eastAsia="Yu Mincho"/>
              </w:rPr>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single" w:color="FFFFFF" w:themeColor="background1" w:sz="4" w:space="0"/>
              <w:bottom w:val="single" w:color="FFFFFF" w:themeColor="background1"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eastAsia" w:eastAsia="宋体"/>
                <w:lang w:val="en-US" w:eastAsia="zh-CN"/>
              </w:rPr>
            </w:pPr>
            <w:r>
              <w:rPr>
                <w:rFonts w:hint="eastAsia"/>
                <w:lang w:val="en-US" w:eastAsia="zh-CN"/>
              </w:rPr>
              <w:t>[</w:t>
            </w:r>
            <w:r>
              <w:rPr>
                <w:rFonts w:hint="eastAsia"/>
                <w:lang w:val="en-US"/>
              </w:rPr>
              <w:t>n2</w:t>
            </w:r>
            <w:r>
              <w:rPr>
                <w:rFonts w:hint="eastAsia"/>
                <w:lang w:val="en-US" w:eastAsia="zh-CN"/>
              </w:rPr>
              <w:t>49]</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25</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35</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50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70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100</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PrEx>
        <w:trPr>
          <w:cantSplit/>
          <w:jc w:val="center"/>
        </w:trPr>
        <w:tc>
          <w:tcPr>
            <w:tcW w:w="1493" w:type="dxa"/>
            <w:tcBorders>
              <w:top w:val="single" w:color="FFFFFF" w:themeColor="background1" w:sz="4" w:space="0"/>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PrEx>
        <w:trPr>
          <w:cantSplit/>
          <w:jc w:val="center"/>
        </w:trPr>
        <w:tc>
          <w:tcPr>
            <w:tcW w:w="1493" w:type="dxa"/>
            <w:tcBorders>
              <w:top w:val="single" w:color="auto" w:sz="4" w:space="0"/>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15</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3" w:type="dxa"/>
            <w:tcBorders>
              <w:top w:val="nil"/>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w:t>
            </w:r>
            <w:r>
              <w:rPr>
                <w:rFonts w:hint="eastAsia"/>
                <w:lang w:val="en-US"/>
              </w:rPr>
              <w:t>n2</w:t>
            </w:r>
            <w:r>
              <w:rPr>
                <w:rFonts w:hint="eastAsia"/>
                <w:lang w:val="en-US" w:eastAsia="zh-CN"/>
              </w:rPr>
              <w:t>48]</w:t>
            </w:r>
          </w:p>
        </w:tc>
        <w:tc>
          <w:tcPr>
            <w:tcW w:w="1132"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30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w:t>
            </w: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25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ascii="Arial" w:hAnsi="Arial" w:eastAsia="宋体" w:cs="Times New Roman"/>
                <w:kern w:val="2"/>
                <w:sz w:val="18"/>
                <w:lang w:val="en-US" w:eastAsia="zh-CN" w:bidi="ar-SA"/>
              </w:rPr>
            </w:pP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35</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50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70</w:t>
            </w:r>
          </w:p>
        </w:tc>
        <w:tc>
          <w:tcPr>
            <w:tcW w:w="850" w:type="dxa"/>
            <w:vAlign w:val="top"/>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ascii="Arial" w:hAnsi="Arial" w:eastAsia="宋体" w:cs="Times New Roman"/>
                <w:kern w:val="2"/>
                <w:sz w:val="18"/>
                <w:lang w:val="en-US" w:eastAsia="zh-CN" w:bidi="ar-SA"/>
              </w:rPr>
            </w:pPr>
            <w:r>
              <w:rPr>
                <w:rFonts w:hint="eastAsia"/>
                <w:lang w:val="en-US" w:eastAsia="zh-CN"/>
              </w:rPr>
              <w:t>100</w:t>
            </w:r>
          </w:p>
        </w:tc>
      </w:tr>
      <w:tr>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PrEx>
        <w:trPr>
          <w:cantSplit/>
          <w:jc w:val="center"/>
        </w:trPr>
        <w:tc>
          <w:tcPr>
            <w:tcW w:w="1493"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lang w:val="en-US"/>
              </w:rPr>
            </w:pPr>
          </w:p>
        </w:tc>
        <w:tc>
          <w:tcPr>
            <w:tcW w:w="1132" w:type="dxa"/>
            <w:tcBorders>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60</w:t>
            </w: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850" w:type="dxa"/>
            <w:tcBorders>
              <w:bottom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bl>
    <w:p>
      <w:pPr>
        <w:pStyle w:val="56"/>
      </w:pPr>
      <w:r>
        <w:t xml:space="preserve">Table </w:t>
      </w:r>
      <w:r>
        <w:rPr>
          <w:rFonts w:hint="eastAsia"/>
          <w:lang w:val="en-US" w:eastAsia="zh-CN"/>
        </w:rPr>
        <w:t>2.2</w:t>
      </w:r>
      <w:r>
        <w:t>-2: Channel bandwidths for each NTN satellite band in FR2-NTN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SAN Operating</w:t>
            </w:r>
            <w:r>
              <w:t xml:space="preserve"> Band</w:t>
            </w:r>
          </w:p>
        </w:tc>
        <w:tc>
          <w:tcPr>
            <w:tcW w:w="1701" w:type="dxa"/>
            <w:vMerge w:val="restart"/>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SCS (kHz)</w:t>
            </w:r>
          </w:p>
        </w:tc>
        <w:tc>
          <w:tcPr>
            <w:tcW w:w="4814" w:type="dxa"/>
            <w:gridSpan w:val="4"/>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701" w:type="dxa"/>
            <w:vMerge w:val="continue"/>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4" w:type="dxa"/>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5</w:t>
            </w:r>
            <w:r>
              <w:t>0</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4" w:type="dxa"/>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1</w:t>
            </w:r>
            <w:r>
              <w:t>00</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6" w:type="dxa"/>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2</w:t>
            </w:r>
            <w:r>
              <w:t>00</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0" w:type="dxa"/>
            <w:vAlign w:val="center"/>
          </w:tcPr>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rPr>
              <w:t>4</w:t>
            </w:r>
            <w:r>
              <w:t>00</w:t>
            </w:r>
          </w:p>
          <w:p>
            <w:pPr>
              <w:pStyle w:val="65"/>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eastAsia="宋体" w:cs="Arial"/>
                <w:szCs w:val="18"/>
                <w:lang w:val="en-US" w:eastAsia="zh-CN"/>
              </w:rPr>
              <w:t>[n</w:t>
            </w:r>
            <w:r>
              <w:rPr>
                <w:rFonts w:hint="eastAsia" w:eastAsia="Yu Mincho" w:cs="Arial"/>
                <w:szCs w:val="18"/>
                <w:lang w:val="en-US" w:eastAsia="zh-CN"/>
              </w:rPr>
              <w:t>509]</w:t>
            </w:r>
          </w:p>
        </w:tc>
        <w:tc>
          <w:tcPr>
            <w:tcW w:w="1701"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60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6"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4"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701"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120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50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100</w:t>
            </w:r>
          </w:p>
        </w:tc>
        <w:tc>
          <w:tcPr>
            <w:tcW w:w="1276"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200</w:t>
            </w:r>
          </w:p>
        </w:tc>
        <w:tc>
          <w:tcPr>
            <w:tcW w:w="127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4" w:type="dxa"/>
            <w:tcBorders>
              <w:bottom w:val="nil"/>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rPr>
                <w:rFonts w:hint="eastAsia" w:eastAsia="宋体" w:cs="Arial"/>
                <w:szCs w:val="18"/>
                <w:lang w:val="en-US" w:eastAsia="zh-CN"/>
              </w:rPr>
              <w:t>[n</w:t>
            </w:r>
            <w:r>
              <w:rPr>
                <w:rFonts w:hint="eastAsia" w:eastAsia="Yu Mincho" w:cs="Arial"/>
                <w:szCs w:val="18"/>
                <w:lang w:val="en-US" w:eastAsia="zh-CN"/>
              </w:rPr>
              <w:t>508]</w:t>
            </w:r>
          </w:p>
        </w:tc>
        <w:tc>
          <w:tcPr>
            <w:tcW w:w="1701"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rPr>
                <w:rFonts w:hint="default" w:eastAsia="宋体"/>
                <w:lang w:val="en-US" w:eastAsia="zh-CN"/>
              </w:rPr>
            </w:pPr>
            <w:r>
              <w:rPr>
                <w:rFonts w:hint="eastAsia"/>
                <w:lang w:val="en-US" w:eastAsia="zh-CN"/>
              </w:rPr>
              <w:t>60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6"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27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4" w:type="dxa"/>
            <w:tcBorders>
              <w:top w:val="nil"/>
              <w:bottom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p>
        </w:tc>
        <w:tc>
          <w:tcPr>
            <w:tcW w:w="1701" w:type="dxa"/>
            <w:vAlign w:val="center"/>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120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50</w:t>
            </w:r>
          </w:p>
        </w:tc>
        <w:tc>
          <w:tcPr>
            <w:tcW w:w="1134"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100</w:t>
            </w:r>
          </w:p>
        </w:tc>
        <w:tc>
          <w:tcPr>
            <w:tcW w:w="1276"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200</w:t>
            </w:r>
          </w:p>
        </w:tc>
        <w:tc>
          <w:tcPr>
            <w:tcW w:w="1270" w:type="dxa"/>
          </w:tcPr>
          <w:p>
            <w:pPr>
              <w:pStyle w:val="57"/>
              <w:keepNext/>
              <w:keepLines/>
              <w:pageBreakBefore w:val="0"/>
              <w:widowControl/>
              <w:kinsoku/>
              <w:wordWrap/>
              <w:overflowPunct/>
              <w:topLinePunct w:val="0"/>
              <w:autoSpaceDE/>
              <w:autoSpaceDN/>
              <w:bidi w:val="0"/>
              <w:adjustRightInd/>
              <w:snapToGrid w:val="0"/>
              <w:spacing w:beforeLines="0" w:after="180" w:afterLines="0" w:line="240" w:lineRule="auto"/>
              <w:textAlignment w:val="auto"/>
            </w:pPr>
            <w:r>
              <w:t>400</w:t>
            </w:r>
          </w:p>
        </w:tc>
      </w:tr>
    </w:tbl>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eastAsia"/>
          <w:b/>
          <w:bCs/>
          <w:sz w:val="20"/>
          <w:szCs w:val="18"/>
          <w:lang w:val="en-US" w:eastAsia="zh-CN"/>
        </w:rPr>
      </w:pPr>
      <w:r>
        <w:rPr>
          <w:rFonts w:hint="eastAsia"/>
          <w:b/>
          <w:bCs/>
          <w:sz w:val="20"/>
          <w:szCs w:val="18"/>
          <w:lang w:val="en-US" w:eastAsia="zh-CN"/>
        </w:rPr>
        <w:t>Observation 1: If Ku band supports 25 MHz, 35 MHz, 50 MHz, 70 MHz and 100 MHz channel bandwidths with 30 kHz subcarrier spacing in FR1-NTN, it needs to specify maximum transmission bandwidth configuration, minimum guard band and the corresponding RF requirements for these channel bandwidths in FR1-NTN.</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b/>
          <w:bCs/>
          <w:sz w:val="20"/>
          <w:szCs w:val="18"/>
          <w:lang w:val="en-US" w:eastAsia="zh-CN"/>
        </w:rPr>
      </w:pPr>
      <w:r>
        <w:rPr>
          <w:rFonts w:hint="eastAsia"/>
          <w:b/>
          <w:bCs/>
          <w:sz w:val="20"/>
          <w:szCs w:val="18"/>
          <w:lang w:val="en-US" w:eastAsia="zh-CN"/>
        </w:rPr>
        <w:t>Proposal 3: It is proposed to define the same maximum transmission bandwidth configuration and minimum guard band as in TS 38.101-1 for 25 MHz, 35 MHz, 50 MHz, 70 MHz and 100 MHz channel bandwidths with 30 kHz SCS in FR1-NTN.</w:t>
      </w:r>
    </w:p>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b/>
          <w:bCs/>
          <w:sz w:val="20"/>
          <w:szCs w:val="18"/>
          <w:lang w:val="en-US" w:eastAsia="zh-CN"/>
        </w:rPr>
      </w:pPr>
      <w:r>
        <w:rPr>
          <w:rFonts w:hint="eastAsia"/>
          <w:b/>
          <w:bCs/>
          <w:sz w:val="20"/>
          <w:szCs w:val="18"/>
          <w:lang w:val="en-US" w:eastAsia="zh-CN"/>
        </w:rPr>
        <w:t>Proposal 4: It is proposed to define the channel raster entries and SS raster entries for Ku band as follows.</w:t>
      </w:r>
    </w:p>
    <w:p>
      <w:pPr>
        <w:pStyle w:val="56"/>
      </w:pPr>
      <w:r>
        <w:t xml:space="preserve">Table 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t>SAN operating band</w:t>
            </w:r>
          </w:p>
        </w:tc>
        <w:tc>
          <w:tcPr>
            <w:tcW w:w="1146"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ΔF</w:t>
            </w:r>
            <w:r>
              <w:rPr>
                <w:vertAlign w:val="subscript"/>
              </w:rPr>
              <w:t>Raster</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(kHz) </w:t>
            </w:r>
          </w:p>
        </w:tc>
        <w:tc>
          <w:tcPr>
            <w:tcW w:w="2876"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Uplink</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N</w:t>
            </w:r>
            <w:r>
              <w:rPr>
                <w:rFonts w:eastAsia="Yu Mincho"/>
                <w:vertAlign w:val="subscript"/>
              </w:rPr>
              <w:t>REF</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c>
          <w:tcPr>
            <w:tcW w:w="2877" w:type="dxa"/>
            <w:shd w:val="clear" w:color="auto" w:fill="auto"/>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Downlink</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N</w:t>
            </w:r>
            <w:r>
              <w:rPr>
                <w:rFonts w:eastAsia="Yu Mincho"/>
                <w:vertAlign w:val="subscript"/>
              </w:rPr>
              <w:t>REF</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w:t>
            </w:r>
            <w:r>
              <w:rPr>
                <w:rFonts w:hint="eastAsia"/>
                <w:lang w:val="en-US"/>
              </w:rPr>
              <w:t>n2</w:t>
            </w:r>
            <w:r>
              <w:rPr>
                <w:rFonts w:hint="eastAsia"/>
                <w:lang w:val="en-US" w:eastAsia="zh-CN"/>
              </w:rPr>
              <w:t>49]</w:t>
            </w:r>
          </w:p>
        </w:tc>
        <w:tc>
          <w:tcPr>
            <w:tcW w:w="1146"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eastAsia="宋体"/>
                <w:lang w:val="en-US" w:eastAsia="zh-CN"/>
              </w:rPr>
              <w:t>30</w:t>
            </w:r>
          </w:p>
        </w:tc>
        <w:tc>
          <w:tcPr>
            <w:tcW w:w="2876"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lang w:val="en-US"/>
              </w:rPr>
            </w:pPr>
            <w:r>
              <w:rPr>
                <w:rFonts w:hint="eastAsia"/>
                <w:lang w:val="en-US" w:eastAsia="zh-CN"/>
              </w:rPr>
              <w:t>1333334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1366666</w:t>
            </w:r>
          </w:p>
        </w:tc>
        <w:tc>
          <w:tcPr>
            <w:tcW w:w="2877"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1113334</w:t>
            </w:r>
            <w:r>
              <w:rPr>
                <w:rFonts w:hint="eastAsia"/>
                <w:lang w:eastAsia="zh-CN"/>
              </w:rPr>
              <w:t xml:space="preserve"> </w:t>
            </w:r>
            <w:r>
              <w:rPr>
                <w:rFonts w:eastAsia="Yu Mincho"/>
              </w:rPr>
              <w:t xml:space="preserve">– &lt;2&gt; – </w:t>
            </w:r>
            <w:r>
              <w:rPr>
                <w:rFonts w:hint="eastAsia"/>
                <w:lang w:val="en-US" w:eastAsia="zh-CN"/>
              </w:rPr>
              <w:t>125</w:t>
            </w:r>
            <w:r>
              <w:rPr>
                <w:rFonts w:hint="eastAsia"/>
                <w:lang w:eastAsia="zh-CN"/>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shd w:val="clear" w:color="auto" w:fill="auto"/>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rFonts w:hint="eastAsia"/>
                <w:lang w:val="en-US" w:eastAsia="zh-CN"/>
              </w:rPr>
              <w:t>[</w:t>
            </w:r>
            <w:r>
              <w:rPr>
                <w:rFonts w:hint="eastAsia"/>
                <w:lang w:val="en-US"/>
              </w:rPr>
              <w:t>n2</w:t>
            </w:r>
            <w:r>
              <w:rPr>
                <w:rFonts w:hint="eastAsia"/>
                <w:lang w:val="en-US" w:eastAsia="zh-CN"/>
              </w:rPr>
              <w:t>48]</w:t>
            </w:r>
          </w:p>
        </w:tc>
        <w:tc>
          <w:tcPr>
            <w:tcW w:w="1146"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Yu Mincho"/>
                <w:lang w:val="en-US"/>
              </w:rPr>
            </w:pPr>
            <w:r>
              <w:rPr>
                <w:rFonts w:hint="eastAsia"/>
                <w:lang w:val="en-US" w:eastAsia="zh-CN"/>
              </w:rPr>
              <w:t>30</w:t>
            </w:r>
          </w:p>
        </w:tc>
        <w:tc>
          <w:tcPr>
            <w:tcW w:w="2876"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zh-CN"/>
              </w:rPr>
            </w:pPr>
            <w:r>
              <w:rPr>
                <w:rFonts w:hint="eastAsia"/>
                <w:lang w:val="en-US" w:eastAsia="zh-CN"/>
              </w:rPr>
              <w:t>1333334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1366666</w:t>
            </w:r>
          </w:p>
        </w:tc>
        <w:tc>
          <w:tcPr>
            <w:tcW w:w="2877" w:type="dxa"/>
            <w:shd w:val="clear" w:color="auto" w:fill="auto"/>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lang w:val="en-US" w:eastAsia="zh-CN"/>
              </w:rPr>
            </w:pPr>
            <w:r>
              <w:rPr>
                <w:rFonts w:hint="eastAsia"/>
                <w:lang w:val="en-US" w:eastAsia="zh-CN"/>
              </w:rPr>
              <w:t>1113334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1246666</w:t>
            </w:r>
          </w:p>
        </w:tc>
      </w:tr>
    </w:tbl>
    <w:p>
      <w:pPr>
        <w:pStyle w:val="56"/>
      </w:pPr>
    </w:p>
    <w:p>
      <w:pPr>
        <w:pStyle w:val="56"/>
        <w:rPr>
          <w:rFonts w:eastAsia="Yu Mincho"/>
        </w:rPr>
      </w:pPr>
      <w:r>
        <w:t>Table 2.3-</w:t>
      </w:r>
      <w:r>
        <w:rPr>
          <w:rFonts w:hint="eastAsia"/>
          <w:lang w:val="en-US" w:eastAsia="zh-CN"/>
        </w:rPr>
        <w:t>2</w:t>
      </w:r>
      <w:r>
        <w:t xml:space="preserve">: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ΔF</w:t>
            </w:r>
            <w:r>
              <w:rPr>
                <w:vertAlign w:val="subscript"/>
              </w:rPr>
              <w:t>Raster</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Uplink</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N</w:t>
            </w:r>
            <w:r>
              <w:rPr>
                <w:rFonts w:eastAsia="Yu Mincho"/>
                <w:vertAlign w:val="subscript"/>
              </w:rPr>
              <w:t>REF</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Downlink</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vertAlign w:val="subscript"/>
              </w:rPr>
            </w:pPr>
            <w:r>
              <w:rPr>
                <w:rFonts w:eastAsia="Yu Mincho"/>
              </w:rPr>
              <w:t>range of N</w:t>
            </w:r>
            <w:r>
              <w:rPr>
                <w:rFonts w:eastAsia="Yu Mincho"/>
                <w:vertAlign w:val="subscript"/>
              </w:rPr>
              <w:t>REF</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kern w:val="2"/>
                <w:sz w:val="18"/>
                <w:lang w:val="en-US" w:eastAsia="zh-CN" w:bidi="ar-SA"/>
              </w:rPr>
            </w:pPr>
            <w:r>
              <w:rPr>
                <w:rFonts w:hint="eastAsia" w:eastAsia="宋体" w:cs="Arial"/>
                <w:szCs w:val="18"/>
                <w:lang w:val="en-US" w:eastAsia="zh-CN"/>
              </w:rPr>
              <w:t>[n</w:t>
            </w:r>
            <w:r>
              <w:rPr>
                <w:rFonts w:hint="eastAsia" w:eastAsia="Yu Mincho" w:cs="Arial"/>
                <w:szCs w:val="18"/>
                <w:lang w:val="en-US" w:eastAsia="zh-CN"/>
              </w:rPr>
              <w:t>509]</w:t>
            </w:r>
          </w:p>
        </w:tc>
        <w:tc>
          <w:tcPr>
            <w:tcW w:w="114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120</w:t>
            </w:r>
          </w:p>
        </w:tc>
        <w:tc>
          <w:tcPr>
            <w:tcW w:w="287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1333334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1366666</w:t>
            </w:r>
          </w:p>
        </w:tc>
        <w:tc>
          <w:tcPr>
            <w:tcW w:w="287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val="en-US"/>
              </w:rPr>
              <w:t>1</w:t>
            </w:r>
            <w:r>
              <w:rPr>
                <w:rFonts w:hint="eastAsia"/>
                <w:lang w:val="en-US" w:eastAsia="zh-CN"/>
              </w:rPr>
              <w:t>11</w:t>
            </w:r>
            <w:r>
              <w:rPr>
                <w:lang w:val="en-US"/>
              </w:rPr>
              <w:t xml:space="preserve">3336 </w:t>
            </w:r>
            <w:r>
              <w:rPr>
                <w:rFonts w:eastAsia="Yu Mincho"/>
                <w:lang w:eastAsia="ja-JP"/>
              </w:rPr>
              <w:t xml:space="preserve"> – &lt;</w:t>
            </w:r>
            <w:r>
              <w:rPr>
                <w:lang w:val="en-US"/>
              </w:rPr>
              <w:t>8</w:t>
            </w:r>
            <w:r>
              <w:rPr>
                <w:rFonts w:eastAsia="Yu Mincho"/>
                <w:lang w:eastAsia="ja-JP"/>
              </w:rPr>
              <w:t xml:space="preserve">&gt; – </w:t>
            </w:r>
            <w:r>
              <w:rPr>
                <w:rFonts w:hint="eastAsia"/>
                <w:lang w:val="en-US" w:eastAsia="zh-CN"/>
              </w:rPr>
              <w:t>125</w:t>
            </w:r>
            <w:r>
              <w:rPr>
                <w:rFonts w:hint="eastAsia"/>
                <w:lang w:eastAsia="zh-CN"/>
              </w:rPr>
              <w:t>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ascii="Arial" w:hAnsi="Arial" w:eastAsia="Yu Mincho" w:cs="Times New Roman"/>
                <w:kern w:val="2"/>
                <w:sz w:val="18"/>
                <w:lang w:val="en-US" w:eastAsia="zh-CN" w:bidi="ar-SA"/>
              </w:rPr>
            </w:pPr>
            <w:r>
              <w:rPr>
                <w:rFonts w:hint="eastAsia" w:eastAsia="宋体" w:cs="Arial"/>
                <w:szCs w:val="18"/>
                <w:lang w:val="en-US" w:eastAsia="zh-CN"/>
              </w:rPr>
              <w:t>[n</w:t>
            </w:r>
            <w:r>
              <w:rPr>
                <w:rFonts w:hint="eastAsia" w:eastAsia="Yu Mincho" w:cs="Arial"/>
                <w:szCs w:val="18"/>
                <w:lang w:val="en-US" w:eastAsia="zh-CN"/>
              </w:rPr>
              <w:t>508]</w:t>
            </w:r>
          </w:p>
        </w:tc>
        <w:tc>
          <w:tcPr>
            <w:tcW w:w="1146"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t>120</w:t>
            </w:r>
          </w:p>
        </w:tc>
        <w:tc>
          <w:tcPr>
            <w:tcW w:w="287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rFonts w:hint="eastAsia"/>
                <w:lang w:val="en-US" w:eastAsia="zh-CN"/>
              </w:rPr>
              <w:t>1333334</w:t>
            </w:r>
            <w:r>
              <w:rPr>
                <w:rFonts w:hint="eastAsia"/>
                <w:lang w:eastAsia="zh-CN"/>
              </w:rPr>
              <w:t xml:space="preserve"> </w:t>
            </w:r>
            <w:r>
              <w:rPr>
                <w:rFonts w:eastAsia="Yu Mincho"/>
              </w:rPr>
              <w:t>– &lt;</w:t>
            </w:r>
            <w:r>
              <w:rPr>
                <w:rFonts w:hint="eastAsia" w:eastAsia="宋体"/>
                <w:lang w:val="en-US" w:eastAsia="zh-CN"/>
              </w:rPr>
              <w:t>2</w:t>
            </w:r>
            <w:r>
              <w:rPr>
                <w:rFonts w:eastAsia="Yu Mincho"/>
              </w:rPr>
              <w:t xml:space="preserve">&gt; – </w:t>
            </w:r>
            <w:r>
              <w:rPr>
                <w:rFonts w:hint="eastAsia"/>
                <w:lang w:val="en-US" w:eastAsia="zh-CN"/>
              </w:rPr>
              <w:t>1366666</w:t>
            </w:r>
          </w:p>
        </w:tc>
        <w:tc>
          <w:tcPr>
            <w:tcW w:w="287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pPr>
            <w:r>
              <w:rPr>
                <w:lang w:val="en-US"/>
              </w:rPr>
              <w:t>1</w:t>
            </w:r>
            <w:r>
              <w:rPr>
                <w:rFonts w:hint="eastAsia"/>
                <w:lang w:val="en-US" w:eastAsia="zh-CN"/>
              </w:rPr>
              <w:t>11</w:t>
            </w:r>
            <w:r>
              <w:rPr>
                <w:lang w:val="en-US"/>
              </w:rPr>
              <w:t xml:space="preserve">3336 </w:t>
            </w:r>
            <w:r>
              <w:rPr>
                <w:rFonts w:eastAsia="Yu Mincho"/>
                <w:lang w:eastAsia="ja-JP"/>
              </w:rPr>
              <w:t xml:space="preserve"> – &lt;</w:t>
            </w:r>
            <w:r>
              <w:rPr>
                <w:lang w:val="en-US"/>
              </w:rPr>
              <w:t>8</w:t>
            </w:r>
            <w:r>
              <w:rPr>
                <w:rFonts w:eastAsia="Yu Mincho"/>
                <w:lang w:eastAsia="ja-JP"/>
              </w:rPr>
              <w:t xml:space="preserve">&gt; – </w:t>
            </w:r>
            <w:r>
              <w:rPr>
                <w:lang w:val="en-US"/>
              </w:rPr>
              <w:t>1</w:t>
            </w:r>
            <w:r>
              <w:rPr>
                <w:rFonts w:hint="eastAsia"/>
                <w:lang w:val="en-US" w:eastAsia="zh-CN" w:bidi="ar"/>
              </w:rPr>
              <w:t>2</w:t>
            </w:r>
            <w:r>
              <w:rPr>
                <w:lang w:val="en-US" w:bidi="ar"/>
              </w:rPr>
              <w:t>46664</w:t>
            </w:r>
          </w:p>
        </w:tc>
      </w:tr>
    </w:tbl>
    <w:p>
      <w:pPr>
        <w:pStyle w:val="56"/>
      </w:pPr>
    </w:p>
    <w:p>
      <w:pPr>
        <w:pStyle w:val="56"/>
        <w:rPr>
          <w:lang w:eastAsia="en-US"/>
        </w:rPr>
      </w:pPr>
      <w:r>
        <w:t xml:space="preserve">Table </w:t>
      </w:r>
      <w:r>
        <w:rPr>
          <w:rFonts w:hint="eastAsia"/>
          <w:lang w:val="en-US" w:eastAsia="zh-CN"/>
        </w:rPr>
        <w:t>2</w:t>
      </w:r>
      <w:r>
        <w:t>.3-</w:t>
      </w:r>
      <w:r>
        <w:rPr>
          <w:rFonts w:hint="eastAsia"/>
          <w:lang w:val="en-US" w:eastAsia="zh-CN"/>
        </w:rPr>
        <w:t>3</w:t>
      </w:r>
      <w:r>
        <w:t>: Applicable SS raster entries per operating band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331"/>
        <w:gridCol w:w="2339"/>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NTN satellite operating band</w:t>
            </w:r>
          </w:p>
        </w:tc>
        <w:tc>
          <w:tcPr>
            <w:tcW w:w="2331"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SS Block SCS</w:t>
            </w:r>
          </w:p>
        </w:tc>
        <w:tc>
          <w:tcPr>
            <w:tcW w:w="2339"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SS Block pattern</w:t>
            </w:r>
            <w:r>
              <w:rPr>
                <w:vertAlign w:val="superscript"/>
                <w:lang w:eastAsia="en-US"/>
              </w:rPr>
              <w:t>1</w:t>
            </w:r>
          </w:p>
        </w:tc>
        <w:tc>
          <w:tcPr>
            <w:tcW w:w="2333"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Range of GSCN</w:t>
            </w:r>
          </w:p>
          <w:p>
            <w:pPr>
              <w:pStyle w:val="65"/>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eastAsia="Yu Mincho"/>
                <w:lang w:eastAsia="en-US"/>
              </w:rPr>
            </w:pPr>
            <w:r>
              <w:rPr>
                <w:rFonts w:hint="eastAsia"/>
                <w:lang w:val="en-US" w:eastAsia="zh-CN"/>
              </w:rPr>
              <w:t>[</w:t>
            </w:r>
            <w:r>
              <w:rPr>
                <w:rFonts w:hint="eastAsia"/>
                <w:lang w:val="en-US"/>
              </w:rPr>
              <w:t>n2</w:t>
            </w:r>
            <w:r>
              <w:rPr>
                <w:rFonts w:hint="eastAsia"/>
                <w:lang w:val="en-US" w:eastAsia="zh-CN"/>
              </w:rPr>
              <w:t>49]</w:t>
            </w:r>
          </w:p>
        </w:tc>
        <w:tc>
          <w:tcPr>
            <w:tcW w:w="233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rFonts w:hint="eastAsia"/>
                <w:lang w:val="en-US" w:eastAsia="zh-CN"/>
              </w:rPr>
              <w:t>30</w:t>
            </w:r>
            <w:r>
              <w:rPr>
                <w:lang w:eastAsia="en-US"/>
              </w:rPr>
              <w:t xml:space="preserve"> kHz</w:t>
            </w:r>
          </w:p>
        </w:tc>
        <w:tc>
          <w:tcPr>
            <w:tcW w:w="2339"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eastAsia="zh-CN"/>
              </w:rPr>
            </w:pPr>
            <w:r>
              <w:t xml:space="preserve">Case </w:t>
            </w:r>
            <w:r>
              <w:rPr>
                <w:rFonts w:hint="eastAsia"/>
                <w:lang w:val="en-US" w:eastAsia="zh-CN"/>
              </w:rPr>
              <w:t>C</w:t>
            </w:r>
          </w:p>
        </w:tc>
        <w:tc>
          <w:tcPr>
            <w:tcW w:w="2333" w:type="dxa"/>
            <w:tcBorders>
              <w:top w:val="single" w:color="auto" w:sz="4" w:space="0"/>
              <w:left w:val="single" w:color="auto" w:sz="4" w:space="0"/>
              <w:bottom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12850</w:t>
            </w:r>
            <w:r>
              <w:t xml:space="preserve"> – &lt;1&gt; – </w:t>
            </w:r>
            <w:r>
              <w:rPr>
                <w:rFonts w:hint="eastAsia"/>
                <w:lang w:val="en-US" w:eastAsia="zh-CN"/>
              </w:rPr>
              <w:t>14266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47" w:type="dxa"/>
            <w:tcBorders>
              <w:top w:val="nil"/>
              <w:left w:val="single" w:color="auto" w:sz="4" w:space="0"/>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rFonts w:hint="eastAsia"/>
                <w:lang w:val="en-US" w:eastAsia="zh-CN"/>
              </w:rPr>
              <w:t>[</w:t>
            </w:r>
            <w:r>
              <w:rPr>
                <w:rFonts w:hint="eastAsia"/>
                <w:lang w:val="en-US"/>
              </w:rPr>
              <w:t>n2</w:t>
            </w:r>
            <w:r>
              <w:rPr>
                <w:rFonts w:hint="eastAsia"/>
                <w:lang w:val="en-US" w:eastAsia="zh-CN"/>
              </w:rPr>
              <w:t>48]</w:t>
            </w:r>
          </w:p>
        </w:tc>
        <w:tc>
          <w:tcPr>
            <w:tcW w:w="2331"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lang w:eastAsia="en-US"/>
              </w:rPr>
            </w:pPr>
            <w:r>
              <w:rPr>
                <w:lang w:eastAsia="en-US"/>
              </w:rPr>
              <w:t>30 kHz</w:t>
            </w:r>
          </w:p>
        </w:tc>
        <w:tc>
          <w:tcPr>
            <w:tcW w:w="2339"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eastAsia" w:eastAsia="宋体"/>
                <w:lang w:eastAsia="zh-CN"/>
              </w:rPr>
            </w:pPr>
            <w:r>
              <w:t xml:space="preserve">Case </w:t>
            </w:r>
            <w:r>
              <w:rPr>
                <w:rFonts w:hint="eastAsia"/>
                <w:lang w:val="en-US" w:eastAsia="zh-CN"/>
              </w:rPr>
              <w:t>C</w:t>
            </w:r>
          </w:p>
        </w:tc>
        <w:tc>
          <w:tcPr>
            <w:tcW w:w="233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spacing w:beforeLines="0" w:afterLines="0" w:line="240" w:lineRule="auto"/>
              <w:textAlignment w:val="auto"/>
              <w:rPr>
                <w:rFonts w:hint="default" w:eastAsia="宋体"/>
                <w:lang w:val="en-US" w:eastAsia="zh-CN"/>
              </w:rPr>
            </w:pPr>
            <w:r>
              <w:rPr>
                <w:rFonts w:hint="eastAsia"/>
                <w:lang w:val="en-US" w:eastAsia="zh-CN"/>
              </w:rPr>
              <w:t>12850</w:t>
            </w:r>
            <w:r>
              <w:t xml:space="preserve"> – &lt;1&gt; – </w:t>
            </w:r>
            <w:r>
              <w:rPr>
                <w:rFonts w:hint="eastAsia"/>
                <w:lang w:val="en-US" w:eastAsia="zh-CN"/>
              </w:rPr>
              <w:t>14232</w:t>
            </w:r>
          </w:p>
        </w:tc>
      </w:tr>
    </w:tbl>
    <w:p>
      <w:pPr>
        <w:rPr>
          <w:rFonts w:eastAsia="Yu Mincho"/>
          <w:lang w:eastAsia="en-US"/>
        </w:rPr>
      </w:pPr>
    </w:p>
    <w:p>
      <w:pPr>
        <w:pStyle w:val="56"/>
        <w:rPr>
          <w:rFonts w:eastAsia="Yu Mincho"/>
        </w:rPr>
      </w:pPr>
      <w:r>
        <w:rPr>
          <w:rFonts w:eastAsia="Yu Mincho"/>
        </w:rPr>
        <w:t xml:space="preserve">Table </w:t>
      </w:r>
      <w:r>
        <w:rPr>
          <w:rFonts w:hint="eastAsia" w:eastAsia="宋体"/>
          <w:lang w:val="en-US" w:eastAsia="zh-CN"/>
        </w:rPr>
        <w:t>2</w:t>
      </w:r>
      <w:r>
        <w:rPr>
          <w:rFonts w:eastAsia="Yu Mincho"/>
        </w:rPr>
        <w:t>.3-</w:t>
      </w:r>
      <w:r>
        <w:rPr>
          <w:rFonts w:hint="eastAsia" w:eastAsia="宋体"/>
          <w:lang w:val="en-US" w:eastAsia="zh-CN"/>
        </w:rPr>
        <w:t>4</w:t>
      </w:r>
      <w:r>
        <w:rPr>
          <w:rFonts w:eastAsia="Yu Mincho"/>
        </w:rPr>
        <w:t xml:space="preserve">: Applicable SS raster entries per </w:t>
      </w:r>
      <w:r>
        <w:rPr>
          <w:rFonts w:eastAsia="Yu Mincho"/>
          <w:iCs/>
        </w:rPr>
        <w:t>operating band</w:t>
      </w:r>
      <w:r>
        <w:rPr>
          <w:rFonts w:eastAsia="Yu Mincho"/>
        </w:rPr>
        <w:t xml:space="preserve"> (FR2-NTN)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t>SAN operating band</w:t>
            </w:r>
          </w:p>
        </w:tc>
        <w:tc>
          <w:tcPr>
            <w:tcW w:w="2165"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t>SS Block SCS</w:t>
            </w:r>
          </w:p>
        </w:tc>
        <w:tc>
          <w:tcPr>
            <w:tcW w:w="1827"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t>SS Block pattern</w:t>
            </w:r>
            <w:r>
              <w:br w:type="textWrapping"/>
            </w:r>
            <w:r>
              <w:t>(NOTE)</w:t>
            </w:r>
          </w:p>
        </w:tc>
        <w:tc>
          <w:tcPr>
            <w:tcW w:w="2593" w:type="dxa"/>
            <w:tcBorders>
              <w:top w:val="single" w:color="auto" w:sz="4" w:space="0"/>
              <w:left w:val="single" w:color="auto" w:sz="4" w:space="0"/>
              <w:bottom w:val="single" w:color="auto" w:sz="4" w:space="0"/>
              <w:right w:val="single" w:color="auto" w:sz="4" w:space="0"/>
            </w:tcBorders>
          </w:tcPr>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vertAlign w:val="subscript"/>
              </w:rPr>
            </w:pPr>
            <w:r>
              <w:t>Range of GSCN</w:t>
            </w:r>
          </w:p>
          <w:p>
            <w:pPr>
              <w:pStyle w:val="65"/>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val="en-US" w:eastAsia="ko-KR"/>
              </w:rPr>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rPr>
                <w:rFonts w:hint="eastAsia" w:eastAsia="宋体" w:cs="Arial"/>
                <w:szCs w:val="18"/>
                <w:lang w:val="en-US" w:eastAsia="zh-CN"/>
              </w:rPr>
              <w:t>[n</w:t>
            </w:r>
            <w:r>
              <w:rPr>
                <w:rFonts w:hint="eastAsia" w:eastAsia="Yu Mincho" w:cs="Arial"/>
                <w:szCs w:val="18"/>
                <w:lang w:val="en-US" w:eastAsia="zh-CN"/>
              </w:rPr>
              <w:t>509]</w:t>
            </w:r>
          </w:p>
        </w:tc>
        <w:tc>
          <w:tcPr>
            <w:tcW w:w="216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rFonts w:hint="eastAsia"/>
                <w:lang w:val="en-US" w:eastAsia="zh-CN"/>
              </w:rPr>
              <w:t>12864</w:t>
            </w:r>
            <w:r>
              <w:rPr>
                <w:lang w:eastAsia="ko-KR"/>
              </w:rPr>
              <w:t xml:space="preserve"> – &lt;12&gt; – </w:t>
            </w:r>
            <w:r>
              <w:rPr>
                <w:rFonts w:hint="eastAsia"/>
                <w:lang w:val="en-US" w:eastAsia="zh-CN"/>
              </w:rPr>
              <w:t>14256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rFonts w:hint="eastAsia"/>
                <w:lang w:val="en-US" w:eastAsia="zh-CN"/>
              </w:rPr>
              <w:t>12888</w:t>
            </w:r>
            <w:r>
              <w:rPr>
                <w:lang w:val="en-US"/>
              </w:rPr>
              <w:t xml:space="preserve"> </w:t>
            </w:r>
            <w:r>
              <w:rPr>
                <w:lang w:eastAsia="ko-KR"/>
              </w:rPr>
              <w:t xml:space="preserve">– &lt;24&gt; – </w:t>
            </w:r>
            <w:r>
              <w:rPr>
                <w:rFonts w:hint="eastAsia"/>
                <w:lang w:val="en-US" w:eastAsia="zh-CN"/>
              </w:rPr>
              <w:t>14232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r>
              <w:rPr>
                <w:rFonts w:hint="eastAsia" w:eastAsia="宋体" w:cs="Arial"/>
                <w:szCs w:val="18"/>
                <w:lang w:val="en-US" w:eastAsia="zh-CN"/>
              </w:rPr>
              <w:t>[n</w:t>
            </w:r>
            <w:r>
              <w:rPr>
                <w:rFonts w:hint="eastAsia" w:eastAsia="Yu Mincho" w:cs="Arial"/>
                <w:szCs w:val="18"/>
                <w:lang w:val="en-US" w:eastAsia="zh-CN"/>
              </w:rPr>
              <w:t>508]</w:t>
            </w:r>
          </w:p>
        </w:tc>
        <w:tc>
          <w:tcPr>
            <w:tcW w:w="216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rFonts w:hint="eastAsia"/>
                <w:lang w:val="en-US" w:eastAsia="zh-CN"/>
              </w:rPr>
              <w:t>12864</w:t>
            </w:r>
            <w:r>
              <w:rPr>
                <w:lang w:eastAsia="ko-KR"/>
              </w:rPr>
              <w:t xml:space="preserve"> – &lt;12&gt; – </w:t>
            </w:r>
            <w:r>
              <w:rPr>
                <w:rFonts w:hint="eastAsia"/>
                <w:lang w:val="en-US" w:eastAsia="zh-CN"/>
              </w:rPr>
              <w:t>14220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eastAsia="Yu Mincho"/>
                <w:lang w:eastAsia="ko-KR"/>
              </w:rPr>
            </w:pPr>
          </w:p>
        </w:tc>
        <w:tc>
          <w:tcPr>
            <w:tcW w:w="2165"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lang w:eastAsia="ko-KR"/>
              </w:rPr>
            </w:pPr>
            <w:r>
              <w:rPr>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pStyle w:val="57"/>
              <w:keepNext/>
              <w:keepLines/>
              <w:pageBreakBefore w:val="0"/>
              <w:widowControl/>
              <w:kinsoku/>
              <w:wordWrap/>
              <w:overflowPunct/>
              <w:topLinePunct w:val="0"/>
              <w:autoSpaceDE/>
              <w:autoSpaceDN/>
              <w:bidi w:val="0"/>
              <w:adjustRightInd/>
              <w:snapToGrid w:val="0"/>
              <w:spacing w:beforeLines="0" w:afterLines="0" w:line="240" w:lineRule="auto"/>
              <w:textAlignment w:val="auto"/>
              <w:rPr>
                <w:rFonts w:hint="default" w:eastAsia="宋体"/>
                <w:lang w:val="en-US" w:eastAsia="zh-CN"/>
              </w:rPr>
            </w:pPr>
            <w:r>
              <w:rPr>
                <w:rFonts w:hint="eastAsia"/>
                <w:lang w:val="en-US" w:eastAsia="zh-CN"/>
              </w:rPr>
              <w:t xml:space="preserve">12888 </w:t>
            </w:r>
            <w:r>
              <w:rPr>
                <w:lang w:eastAsia="ko-KR"/>
              </w:rPr>
              <w:t xml:space="preserve">– &lt;24&gt; – </w:t>
            </w:r>
            <w:r>
              <w:rPr>
                <w:rFonts w:hint="eastAsia"/>
                <w:lang w:val="en-US" w:eastAsia="zh-CN"/>
              </w:rPr>
              <w:t>14208</w:t>
            </w:r>
          </w:p>
        </w:tc>
      </w:tr>
    </w:tbl>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b/>
          <w:bCs/>
          <w:sz w:val="20"/>
          <w:szCs w:val="18"/>
          <w:lang w:val="en-US" w:eastAsia="zh-CN"/>
        </w:rPr>
      </w:pPr>
      <w:r>
        <w:rPr>
          <w:rFonts w:hint="eastAsia"/>
          <w:b/>
          <w:bCs/>
          <w:sz w:val="20"/>
          <w:szCs w:val="18"/>
          <w:lang w:val="en-US" w:eastAsia="zh-CN"/>
        </w:rPr>
        <w:t>Proposal 5: It is proposed to specify the default TX-RX frequency separation for Ku band in FR1-NTN as follows.</w:t>
      </w:r>
    </w:p>
    <w:p>
      <w:pPr>
        <w:pStyle w:val="56"/>
      </w:pPr>
      <w:r>
        <w:t xml:space="preserve">Table </w:t>
      </w:r>
      <w:r>
        <w:rPr>
          <w:rFonts w:hint="eastAsia"/>
          <w:lang w:val="en-US" w:eastAsia="zh-CN"/>
        </w:rPr>
        <w:t>2</w:t>
      </w:r>
      <w:r>
        <w:t>.4-1: UE TX-RX frequency separation (FR1-NTN)</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NTN Satellite Operating Band</w:t>
            </w:r>
          </w:p>
        </w:tc>
        <w:tc>
          <w:tcPr>
            <w:tcW w:w="2693" w:type="dxa"/>
            <w:tcBorders>
              <w:top w:val="single" w:color="auto" w:sz="4" w:space="0"/>
              <w:left w:val="single" w:color="auto" w:sz="4" w:space="0"/>
              <w:bottom w:val="single" w:color="auto" w:sz="4" w:space="0"/>
              <w:right w:val="single" w:color="auto" w:sz="4" w:space="0"/>
            </w:tcBorders>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b/>
                <w:sz w:val="18"/>
                <w:lang w:val="fr-FR"/>
              </w:rPr>
            </w:pPr>
            <w:r>
              <w:rPr>
                <w:rFonts w:ascii="Arial" w:hAnsi="Arial" w:cs="Arial"/>
                <w:b/>
                <w:sz w:val="18"/>
                <w:lang w:val="fr-FR"/>
              </w:rPr>
              <w:t xml:space="preserve">TX </w:t>
            </w:r>
            <w:r>
              <w:rPr>
                <w:rFonts w:ascii="Arial" w:hAnsi="Arial" w:cs="v5.0.0"/>
                <w:b/>
                <w:sz w:val="18"/>
                <w:lang w:val="fr-FR"/>
              </w:rPr>
              <w:t>–</w:t>
            </w:r>
            <w:r>
              <w:rPr>
                <w:rFonts w:ascii="Arial" w:hAnsi="Arial" w:cs="Arial"/>
                <w:b/>
                <w:sz w:val="18"/>
                <w:lang w:val="fr-FR"/>
              </w:rPr>
              <w:t xml:space="preserve"> RX </w:t>
            </w:r>
            <w:r>
              <w:rPr>
                <w:rFonts w:ascii="Arial" w:hAnsi="Arial" w:cs="Arial"/>
                <w:b/>
                <w:sz w:val="18"/>
                <w:lang w:val="fr-FR"/>
              </w:rPr>
              <w:br w:type="textWrapping"/>
            </w:r>
            <w:r>
              <w:rPr>
                <w:rFonts w:ascii="Arial" w:hAnsi="Arial" w:cs="Arial"/>
                <w:b/>
                <w:sz w:val="18"/>
                <w:lang w:val="fr-FR"/>
              </w:rPr>
              <w:t>carrier centre frequency</w:t>
            </w:r>
            <w:r>
              <w:rPr>
                <w:rFonts w:ascii="Arial" w:hAnsi="Arial" w:cs="Arial"/>
                <w:b/>
                <w:sz w:val="18"/>
                <w:lang w:val="fr-FR"/>
              </w:rPr>
              <w:br w:type="textWrapping"/>
            </w:r>
            <w:r>
              <w:rPr>
                <w:rFonts w:ascii="Arial" w:hAnsi="Arial" w:cs="Arial"/>
                <w:b/>
                <w:sz w:val="18"/>
                <w:lang w:val="fr-FR"/>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lang w:val="fr-FR"/>
              </w:rPr>
            </w:pPr>
            <w:r>
              <w:rPr>
                <w:rFonts w:hint="eastAsia"/>
                <w:lang w:val="en-US" w:eastAsia="zh-CN"/>
              </w:rPr>
              <w:t>[</w:t>
            </w:r>
            <w:r>
              <w:rPr>
                <w:rFonts w:hint="eastAsia"/>
                <w:lang w:val="en-US"/>
              </w:rPr>
              <w:t>n2</w:t>
            </w:r>
            <w:r>
              <w:rPr>
                <w:rFonts w:hint="eastAsia"/>
                <w:lang w:val="en-US" w:eastAsia="zh-CN"/>
              </w:rPr>
              <w:t>49]</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-2525</w:t>
            </w:r>
            <w:r>
              <w:rPr>
                <w:rFonts w:ascii="Arial" w:hAnsi="Arial" w:cs="Arial"/>
                <w:sz w:val="18"/>
                <w:lang w:val="en-US"/>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vAlign w:val="top"/>
          </w:tcPr>
          <w:p>
            <w:pPr>
              <w:pStyle w:val="57"/>
              <w:keepNext/>
              <w:keepLines/>
              <w:pageBreakBefore w:val="0"/>
              <w:widowControl/>
              <w:kinsoku/>
              <w:wordWrap/>
              <w:overflowPunct/>
              <w:topLinePunct w:val="0"/>
              <w:autoSpaceDE/>
              <w:autoSpaceDN/>
              <w:bidi w:val="0"/>
              <w:adjustRightInd/>
              <w:snapToGrid/>
              <w:spacing w:beforeLines="0" w:afterLines="0" w:line="240" w:lineRule="auto"/>
              <w:jc w:val="center"/>
              <w:textAlignment w:val="auto"/>
              <w:rPr>
                <w:rFonts w:ascii="Arial" w:hAnsi="Arial" w:cs="Arial"/>
                <w:sz w:val="18"/>
                <w:lang w:val="fr-FR"/>
              </w:rPr>
            </w:pPr>
            <w:r>
              <w:rPr>
                <w:rFonts w:hint="eastAsia"/>
                <w:lang w:val="en-US" w:eastAsia="zh-CN"/>
              </w:rPr>
              <w:t>[</w:t>
            </w:r>
            <w:r>
              <w:rPr>
                <w:rFonts w:hint="eastAsia"/>
                <w:lang w:val="en-US"/>
              </w:rPr>
              <w:t>n2</w:t>
            </w:r>
            <w:r>
              <w:rPr>
                <w:rFonts w:hint="eastAsia"/>
                <w:lang w:val="en-US" w:eastAsia="zh-CN"/>
              </w:rPr>
              <w:t>48]</w:t>
            </w:r>
          </w:p>
        </w:tc>
        <w:tc>
          <w:tcPr>
            <w:tcW w:w="2693"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spacing w:beforeLines="0" w:after="0" w:afterLines="0" w:line="240" w:lineRule="auto"/>
              <w:jc w:val="center"/>
              <w:textAlignment w:val="auto"/>
              <w:rPr>
                <w:rFonts w:ascii="Arial" w:hAnsi="Arial" w:cs="Arial"/>
                <w:sz w:val="18"/>
                <w:lang w:val="fr-FR"/>
              </w:rPr>
            </w:pPr>
            <w:r>
              <w:rPr>
                <w:rFonts w:hint="eastAsia" w:ascii="Arial" w:hAnsi="Arial" w:cs="Arial"/>
                <w:sz w:val="18"/>
                <w:lang w:val="en-US" w:eastAsia="zh-CN"/>
              </w:rPr>
              <w:t>-2550</w:t>
            </w:r>
            <w:r>
              <w:rPr>
                <w:rFonts w:ascii="Arial" w:hAnsi="Arial" w:cs="Arial"/>
                <w:sz w:val="18"/>
                <w:lang w:val="en-US"/>
              </w:rPr>
              <w:t xml:space="preserve"> MHz</w:t>
            </w:r>
          </w:p>
        </w:tc>
      </w:tr>
    </w:tbl>
    <w:p>
      <w:pPr>
        <w:pStyle w:val="34"/>
        <w:keepNext w:val="0"/>
        <w:keepLines w:val="0"/>
        <w:pageBreakBefore w:val="0"/>
        <w:widowControl/>
        <w:numPr>
          <w:ilvl w:val="0"/>
          <w:numId w:val="0"/>
        </w:numPr>
        <w:kinsoku/>
        <w:wordWrap/>
        <w:overflowPunct w:val="0"/>
        <w:topLinePunct w:val="0"/>
        <w:autoSpaceDE w:val="0"/>
        <w:autoSpaceDN w:val="0"/>
        <w:bidi w:val="0"/>
        <w:adjustRightInd w:val="0"/>
        <w:snapToGrid/>
        <w:spacing w:before="0" w:beforeLines="50" w:after="180" w:line="260" w:lineRule="auto"/>
        <w:textAlignment w:val="baseline"/>
        <w:rPr>
          <w:rFonts w:hint="default" w:cs="Times New Roman"/>
          <w:sz w:val="20"/>
          <w:szCs w:val="20"/>
          <w:lang w:val="en-US" w:eastAsia="zh-CN"/>
        </w:rPr>
      </w:pP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RP-243314, Revised WID: Introduction of Ku bands for NR NTN, Intelsat et al.</w:t>
      </w:r>
    </w:p>
    <w:p>
      <w:pPr>
        <w:keepNext/>
        <w:keepLines/>
        <w:pageBreakBefore w:val="0"/>
        <w:widowControl/>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r>
        <w:rPr>
          <w:rFonts w:hint="default"/>
          <w:color w:val="auto"/>
          <w:lang w:val="en-US" w:eastAsia="zh-CN"/>
        </w:rPr>
        <w:t>R4-241</w:t>
      </w:r>
      <w:r>
        <w:rPr>
          <w:rFonts w:hint="eastAsia"/>
          <w:color w:val="auto"/>
          <w:lang w:val="en-US" w:eastAsia="zh-CN"/>
        </w:rPr>
        <w:t>9909, Way Forward for [112][313] NR_NTN_Ku_Band_General, Moderator (Eutelsat Group)</w:t>
      </w:r>
    </w:p>
    <w:p>
      <w:pPr>
        <w:keepNext/>
        <w:keepLines/>
        <w:pageBreakBefore w:val="0"/>
        <w:widowControl/>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F73E4B"/>
    <w:multiLevelType w:val="multilevel"/>
    <w:tmpl w:val="12F73E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8"/>
  </w:num>
  <w:num w:numId="3">
    <w:abstractNumId w:val="6"/>
  </w:num>
  <w:num w:numId="4">
    <w:abstractNumId w:val="4"/>
  </w:num>
  <w:num w:numId="5">
    <w:abstractNumId w:val="5"/>
  </w:num>
  <w:num w:numId="6">
    <w:abstractNumId w:val="1"/>
  </w:num>
  <w:num w:numId="7">
    <w:abstractNumId w:val="0"/>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C77E0"/>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8D22BA"/>
    <w:rsid w:val="03A77DFA"/>
    <w:rsid w:val="03B339B1"/>
    <w:rsid w:val="03C05350"/>
    <w:rsid w:val="03C1287B"/>
    <w:rsid w:val="03C36B0E"/>
    <w:rsid w:val="03C528EA"/>
    <w:rsid w:val="03CF67FA"/>
    <w:rsid w:val="03E120EA"/>
    <w:rsid w:val="03E358F3"/>
    <w:rsid w:val="03E84DE8"/>
    <w:rsid w:val="03EC63CD"/>
    <w:rsid w:val="04030035"/>
    <w:rsid w:val="04044D0B"/>
    <w:rsid w:val="04142BDC"/>
    <w:rsid w:val="04242D1B"/>
    <w:rsid w:val="04251A4C"/>
    <w:rsid w:val="042D2E97"/>
    <w:rsid w:val="04305EA0"/>
    <w:rsid w:val="04310833"/>
    <w:rsid w:val="04343921"/>
    <w:rsid w:val="04346443"/>
    <w:rsid w:val="043865BF"/>
    <w:rsid w:val="043A14AD"/>
    <w:rsid w:val="044C78D8"/>
    <w:rsid w:val="04537B11"/>
    <w:rsid w:val="04557675"/>
    <w:rsid w:val="04684A28"/>
    <w:rsid w:val="046C0EAE"/>
    <w:rsid w:val="04782230"/>
    <w:rsid w:val="0479507E"/>
    <w:rsid w:val="04894975"/>
    <w:rsid w:val="04922411"/>
    <w:rsid w:val="04A40EE6"/>
    <w:rsid w:val="04A65723"/>
    <w:rsid w:val="04B14B03"/>
    <w:rsid w:val="04CF6607"/>
    <w:rsid w:val="04D46535"/>
    <w:rsid w:val="04DA1A87"/>
    <w:rsid w:val="04DC0F32"/>
    <w:rsid w:val="04DE2DA3"/>
    <w:rsid w:val="04DF3C0B"/>
    <w:rsid w:val="04E2228D"/>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13426"/>
    <w:rsid w:val="05B92EC1"/>
    <w:rsid w:val="05D05BD2"/>
    <w:rsid w:val="05DB542B"/>
    <w:rsid w:val="05E078B3"/>
    <w:rsid w:val="05E942A3"/>
    <w:rsid w:val="05EA759F"/>
    <w:rsid w:val="05EE6827"/>
    <w:rsid w:val="0601277E"/>
    <w:rsid w:val="060A52C4"/>
    <w:rsid w:val="060C5AED"/>
    <w:rsid w:val="06103146"/>
    <w:rsid w:val="06172561"/>
    <w:rsid w:val="061E54DA"/>
    <w:rsid w:val="061E5E22"/>
    <w:rsid w:val="06223FD1"/>
    <w:rsid w:val="062B2FCF"/>
    <w:rsid w:val="063F63E4"/>
    <w:rsid w:val="06460B91"/>
    <w:rsid w:val="0654187C"/>
    <w:rsid w:val="065475DE"/>
    <w:rsid w:val="06556C03"/>
    <w:rsid w:val="06676354"/>
    <w:rsid w:val="06693FE0"/>
    <w:rsid w:val="066E5330"/>
    <w:rsid w:val="06753771"/>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80124E3"/>
    <w:rsid w:val="08030E27"/>
    <w:rsid w:val="080C7FA0"/>
    <w:rsid w:val="080F0F47"/>
    <w:rsid w:val="08193C24"/>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00F0C"/>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2A40BC"/>
    <w:rsid w:val="0C3427D0"/>
    <w:rsid w:val="0C43327D"/>
    <w:rsid w:val="0C4426AF"/>
    <w:rsid w:val="0C453647"/>
    <w:rsid w:val="0C4577EC"/>
    <w:rsid w:val="0C4F3B0E"/>
    <w:rsid w:val="0C4F7881"/>
    <w:rsid w:val="0C5A77EA"/>
    <w:rsid w:val="0C5C6396"/>
    <w:rsid w:val="0C63431B"/>
    <w:rsid w:val="0C650A20"/>
    <w:rsid w:val="0C690EFA"/>
    <w:rsid w:val="0C6C16C2"/>
    <w:rsid w:val="0C6E11B8"/>
    <w:rsid w:val="0C723CD1"/>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81B98"/>
    <w:rsid w:val="0D1B1E9C"/>
    <w:rsid w:val="0D1C2E6E"/>
    <w:rsid w:val="0D4B44A1"/>
    <w:rsid w:val="0D6811B4"/>
    <w:rsid w:val="0D6E2620"/>
    <w:rsid w:val="0D704E21"/>
    <w:rsid w:val="0D7F48FE"/>
    <w:rsid w:val="0D883C88"/>
    <w:rsid w:val="0D8A6002"/>
    <w:rsid w:val="0D9074CF"/>
    <w:rsid w:val="0D936E72"/>
    <w:rsid w:val="0D966BF7"/>
    <w:rsid w:val="0DB54F84"/>
    <w:rsid w:val="0DB84465"/>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E6E00"/>
    <w:rsid w:val="0EA40C1C"/>
    <w:rsid w:val="0EA55D13"/>
    <w:rsid w:val="0EAA759E"/>
    <w:rsid w:val="0EAF381F"/>
    <w:rsid w:val="0EB72E4B"/>
    <w:rsid w:val="0ECE6156"/>
    <w:rsid w:val="0EEC6F1D"/>
    <w:rsid w:val="0F0621F6"/>
    <w:rsid w:val="0F103291"/>
    <w:rsid w:val="0F15660A"/>
    <w:rsid w:val="0F1D0EA6"/>
    <w:rsid w:val="0F1D498B"/>
    <w:rsid w:val="0F22242C"/>
    <w:rsid w:val="0F337178"/>
    <w:rsid w:val="0F3B15FC"/>
    <w:rsid w:val="0F41022A"/>
    <w:rsid w:val="0F56743B"/>
    <w:rsid w:val="0F60682C"/>
    <w:rsid w:val="0F66194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C41AE"/>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E6DEC"/>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119AA"/>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6532DD"/>
    <w:rsid w:val="12680E73"/>
    <w:rsid w:val="12763466"/>
    <w:rsid w:val="12776C9A"/>
    <w:rsid w:val="127C144F"/>
    <w:rsid w:val="127E5AA6"/>
    <w:rsid w:val="12811F99"/>
    <w:rsid w:val="12813BAC"/>
    <w:rsid w:val="128B2749"/>
    <w:rsid w:val="128E1E81"/>
    <w:rsid w:val="129019B5"/>
    <w:rsid w:val="129811DB"/>
    <w:rsid w:val="129937EE"/>
    <w:rsid w:val="129E6282"/>
    <w:rsid w:val="129F3A3A"/>
    <w:rsid w:val="12AA7237"/>
    <w:rsid w:val="12AB7A32"/>
    <w:rsid w:val="12BB6535"/>
    <w:rsid w:val="12C7312B"/>
    <w:rsid w:val="12D22971"/>
    <w:rsid w:val="12D469A6"/>
    <w:rsid w:val="12D85654"/>
    <w:rsid w:val="12DF4A87"/>
    <w:rsid w:val="12E265EC"/>
    <w:rsid w:val="12E706B5"/>
    <w:rsid w:val="12EE5106"/>
    <w:rsid w:val="12F777F2"/>
    <w:rsid w:val="130623BB"/>
    <w:rsid w:val="1307341C"/>
    <w:rsid w:val="130C40FE"/>
    <w:rsid w:val="130E3629"/>
    <w:rsid w:val="13116666"/>
    <w:rsid w:val="13125197"/>
    <w:rsid w:val="131B39DD"/>
    <w:rsid w:val="13283BA4"/>
    <w:rsid w:val="13332F77"/>
    <w:rsid w:val="13334E1C"/>
    <w:rsid w:val="13346EE4"/>
    <w:rsid w:val="13384952"/>
    <w:rsid w:val="1355107F"/>
    <w:rsid w:val="135D4D2E"/>
    <w:rsid w:val="1366638D"/>
    <w:rsid w:val="1369011A"/>
    <w:rsid w:val="136D76E8"/>
    <w:rsid w:val="136E21E5"/>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794D85"/>
    <w:rsid w:val="14816B50"/>
    <w:rsid w:val="148313F4"/>
    <w:rsid w:val="1485665F"/>
    <w:rsid w:val="14934F1A"/>
    <w:rsid w:val="149559C4"/>
    <w:rsid w:val="149D71D6"/>
    <w:rsid w:val="149E3770"/>
    <w:rsid w:val="14A13FBC"/>
    <w:rsid w:val="14A67171"/>
    <w:rsid w:val="14AA71CB"/>
    <w:rsid w:val="14AC0C32"/>
    <w:rsid w:val="14B21834"/>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22554"/>
    <w:rsid w:val="15740334"/>
    <w:rsid w:val="1574662E"/>
    <w:rsid w:val="15751882"/>
    <w:rsid w:val="1575191B"/>
    <w:rsid w:val="157818C6"/>
    <w:rsid w:val="158A1D26"/>
    <w:rsid w:val="159F73BB"/>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4E0DD7"/>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94E56"/>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4E1B2F"/>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256D7A"/>
    <w:rsid w:val="193275C2"/>
    <w:rsid w:val="19342CF4"/>
    <w:rsid w:val="193A500F"/>
    <w:rsid w:val="193B3E86"/>
    <w:rsid w:val="19463A75"/>
    <w:rsid w:val="194D2005"/>
    <w:rsid w:val="19520B39"/>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65171"/>
    <w:rsid w:val="1A3068A4"/>
    <w:rsid w:val="1A410451"/>
    <w:rsid w:val="1A4858FF"/>
    <w:rsid w:val="1A4B0783"/>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F5EB8"/>
    <w:rsid w:val="1AD26086"/>
    <w:rsid w:val="1ADD5ACE"/>
    <w:rsid w:val="1AE013F8"/>
    <w:rsid w:val="1AE8570C"/>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D1368"/>
    <w:rsid w:val="1B9E64C5"/>
    <w:rsid w:val="1B9E6D4C"/>
    <w:rsid w:val="1BB07CEA"/>
    <w:rsid w:val="1BB86343"/>
    <w:rsid w:val="1BBD43BA"/>
    <w:rsid w:val="1BBE1FA1"/>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50818"/>
    <w:rsid w:val="1C7F54CE"/>
    <w:rsid w:val="1C7F743F"/>
    <w:rsid w:val="1C8C4AA9"/>
    <w:rsid w:val="1C8C604B"/>
    <w:rsid w:val="1C8F53D9"/>
    <w:rsid w:val="1C92160B"/>
    <w:rsid w:val="1C973EEF"/>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E105A20"/>
    <w:rsid w:val="1E131D14"/>
    <w:rsid w:val="1E164B52"/>
    <w:rsid w:val="1E183AAB"/>
    <w:rsid w:val="1E26583C"/>
    <w:rsid w:val="1E273844"/>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2B19B8"/>
    <w:rsid w:val="1F323C57"/>
    <w:rsid w:val="1F343977"/>
    <w:rsid w:val="1F3E662A"/>
    <w:rsid w:val="1F4D4715"/>
    <w:rsid w:val="1F4F2219"/>
    <w:rsid w:val="1F614D01"/>
    <w:rsid w:val="1F721405"/>
    <w:rsid w:val="1F935819"/>
    <w:rsid w:val="1FA036A3"/>
    <w:rsid w:val="1FA628A2"/>
    <w:rsid w:val="1FA6556D"/>
    <w:rsid w:val="1FAF2571"/>
    <w:rsid w:val="1FB33036"/>
    <w:rsid w:val="1FC55EDA"/>
    <w:rsid w:val="1FC658C9"/>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70407"/>
    <w:rsid w:val="223A29CF"/>
    <w:rsid w:val="223D7545"/>
    <w:rsid w:val="22411D14"/>
    <w:rsid w:val="22423BE1"/>
    <w:rsid w:val="22454449"/>
    <w:rsid w:val="22500810"/>
    <w:rsid w:val="22596EC8"/>
    <w:rsid w:val="226347BD"/>
    <w:rsid w:val="22682935"/>
    <w:rsid w:val="226E0A7E"/>
    <w:rsid w:val="227E0D30"/>
    <w:rsid w:val="227E7CD6"/>
    <w:rsid w:val="228A4698"/>
    <w:rsid w:val="22925971"/>
    <w:rsid w:val="22945167"/>
    <w:rsid w:val="22947171"/>
    <w:rsid w:val="229B0BE2"/>
    <w:rsid w:val="22A55CD5"/>
    <w:rsid w:val="22C558BB"/>
    <w:rsid w:val="22C74EE2"/>
    <w:rsid w:val="22CB6237"/>
    <w:rsid w:val="22CD14B5"/>
    <w:rsid w:val="22E02C6E"/>
    <w:rsid w:val="22E04FF4"/>
    <w:rsid w:val="22E1121B"/>
    <w:rsid w:val="22EA4C70"/>
    <w:rsid w:val="22EB72B8"/>
    <w:rsid w:val="22F15AB9"/>
    <w:rsid w:val="22F75251"/>
    <w:rsid w:val="22F86F75"/>
    <w:rsid w:val="22FB4D32"/>
    <w:rsid w:val="22FC72E3"/>
    <w:rsid w:val="23131055"/>
    <w:rsid w:val="23146AC2"/>
    <w:rsid w:val="232C2DD6"/>
    <w:rsid w:val="233C6F76"/>
    <w:rsid w:val="234449F5"/>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312CB0"/>
    <w:rsid w:val="243A6CBE"/>
    <w:rsid w:val="24420388"/>
    <w:rsid w:val="244C7C9D"/>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0C17"/>
    <w:rsid w:val="254A35DD"/>
    <w:rsid w:val="255D45FE"/>
    <w:rsid w:val="25657E8F"/>
    <w:rsid w:val="256658A2"/>
    <w:rsid w:val="25691F8B"/>
    <w:rsid w:val="256C13EF"/>
    <w:rsid w:val="256E76DE"/>
    <w:rsid w:val="25733F7D"/>
    <w:rsid w:val="25734B61"/>
    <w:rsid w:val="257632D6"/>
    <w:rsid w:val="25855673"/>
    <w:rsid w:val="258F6BC4"/>
    <w:rsid w:val="2597510C"/>
    <w:rsid w:val="25975923"/>
    <w:rsid w:val="259A3D0A"/>
    <w:rsid w:val="25A95F3E"/>
    <w:rsid w:val="25BD12A6"/>
    <w:rsid w:val="25BF0CF9"/>
    <w:rsid w:val="25BF6041"/>
    <w:rsid w:val="25C35718"/>
    <w:rsid w:val="25C61D8C"/>
    <w:rsid w:val="25CF0252"/>
    <w:rsid w:val="25D0248E"/>
    <w:rsid w:val="25D61C5C"/>
    <w:rsid w:val="25DA4BFD"/>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5F0F30"/>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204B5D"/>
    <w:rsid w:val="27257DE1"/>
    <w:rsid w:val="272C65B2"/>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6231A"/>
    <w:rsid w:val="28E74216"/>
    <w:rsid w:val="28E87EE4"/>
    <w:rsid w:val="28F61640"/>
    <w:rsid w:val="28FD484F"/>
    <w:rsid w:val="290212AC"/>
    <w:rsid w:val="2903396A"/>
    <w:rsid w:val="294E766A"/>
    <w:rsid w:val="2952590A"/>
    <w:rsid w:val="295545AF"/>
    <w:rsid w:val="29623F1E"/>
    <w:rsid w:val="297161D3"/>
    <w:rsid w:val="2978319A"/>
    <w:rsid w:val="29886D49"/>
    <w:rsid w:val="29897A2F"/>
    <w:rsid w:val="29A015B3"/>
    <w:rsid w:val="29A02DFF"/>
    <w:rsid w:val="29A3014B"/>
    <w:rsid w:val="29A74CBD"/>
    <w:rsid w:val="29A80BF5"/>
    <w:rsid w:val="29B01C34"/>
    <w:rsid w:val="29B16357"/>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A2F9C"/>
    <w:rsid w:val="2AA069D4"/>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A33AE"/>
    <w:rsid w:val="2B7B70BF"/>
    <w:rsid w:val="2B853AF3"/>
    <w:rsid w:val="2B8B422C"/>
    <w:rsid w:val="2B950A36"/>
    <w:rsid w:val="2BA07D38"/>
    <w:rsid w:val="2BC40957"/>
    <w:rsid w:val="2BCA5C66"/>
    <w:rsid w:val="2BCB5DAA"/>
    <w:rsid w:val="2BD65380"/>
    <w:rsid w:val="2BD86372"/>
    <w:rsid w:val="2BDA39FD"/>
    <w:rsid w:val="2BE1365D"/>
    <w:rsid w:val="2BE725D0"/>
    <w:rsid w:val="2BEF631E"/>
    <w:rsid w:val="2BF369B9"/>
    <w:rsid w:val="2BFC0A4A"/>
    <w:rsid w:val="2C094904"/>
    <w:rsid w:val="2C0E55A1"/>
    <w:rsid w:val="2C14030B"/>
    <w:rsid w:val="2C2A08C5"/>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E6567"/>
    <w:rsid w:val="2CCB6E18"/>
    <w:rsid w:val="2CCF5C52"/>
    <w:rsid w:val="2CE01F07"/>
    <w:rsid w:val="2CE8526F"/>
    <w:rsid w:val="2D024DC7"/>
    <w:rsid w:val="2D026315"/>
    <w:rsid w:val="2D0764BD"/>
    <w:rsid w:val="2D0A1FD9"/>
    <w:rsid w:val="2D0A3DA2"/>
    <w:rsid w:val="2D0B3169"/>
    <w:rsid w:val="2D0D4219"/>
    <w:rsid w:val="2D105AFA"/>
    <w:rsid w:val="2D171DA8"/>
    <w:rsid w:val="2D2279B8"/>
    <w:rsid w:val="2D274320"/>
    <w:rsid w:val="2D2D2DE2"/>
    <w:rsid w:val="2D3117D3"/>
    <w:rsid w:val="2D324CCC"/>
    <w:rsid w:val="2D340E86"/>
    <w:rsid w:val="2D395427"/>
    <w:rsid w:val="2D3A2269"/>
    <w:rsid w:val="2D3D0E02"/>
    <w:rsid w:val="2D4A661B"/>
    <w:rsid w:val="2D510F65"/>
    <w:rsid w:val="2D5436FA"/>
    <w:rsid w:val="2D59263A"/>
    <w:rsid w:val="2D62469E"/>
    <w:rsid w:val="2D6B40A9"/>
    <w:rsid w:val="2D8A3FA2"/>
    <w:rsid w:val="2D931C55"/>
    <w:rsid w:val="2D9767DC"/>
    <w:rsid w:val="2D980DDC"/>
    <w:rsid w:val="2D987372"/>
    <w:rsid w:val="2DA23689"/>
    <w:rsid w:val="2DBC2A76"/>
    <w:rsid w:val="2DC66A91"/>
    <w:rsid w:val="2DC92AA1"/>
    <w:rsid w:val="2DCE5F69"/>
    <w:rsid w:val="2DD51812"/>
    <w:rsid w:val="2DD63DB4"/>
    <w:rsid w:val="2DDD4F0A"/>
    <w:rsid w:val="2DFB4980"/>
    <w:rsid w:val="2E0F49FC"/>
    <w:rsid w:val="2E147A92"/>
    <w:rsid w:val="2E2D64A9"/>
    <w:rsid w:val="2E34792A"/>
    <w:rsid w:val="2E376AEB"/>
    <w:rsid w:val="2E437E73"/>
    <w:rsid w:val="2E4A5201"/>
    <w:rsid w:val="2E5034DC"/>
    <w:rsid w:val="2E572AB9"/>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417BA"/>
    <w:rsid w:val="2FA6492D"/>
    <w:rsid w:val="2FC86676"/>
    <w:rsid w:val="2FD17A1B"/>
    <w:rsid w:val="2FD71CA4"/>
    <w:rsid w:val="2FDC432A"/>
    <w:rsid w:val="2FDC4A8D"/>
    <w:rsid w:val="2FE27109"/>
    <w:rsid w:val="2FEA743A"/>
    <w:rsid w:val="2FF24D11"/>
    <w:rsid w:val="2FF93066"/>
    <w:rsid w:val="301742B2"/>
    <w:rsid w:val="301A1509"/>
    <w:rsid w:val="301A71CE"/>
    <w:rsid w:val="301D63DD"/>
    <w:rsid w:val="301E049B"/>
    <w:rsid w:val="302A4BE6"/>
    <w:rsid w:val="303561B2"/>
    <w:rsid w:val="304478EC"/>
    <w:rsid w:val="304F4511"/>
    <w:rsid w:val="30515C8E"/>
    <w:rsid w:val="305823FF"/>
    <w:rsid w:val="30830761"/>
    <w:rsid w:val="30926F91"/>
    <w:rsid w:val="30962F3E"/>
    <w:rsid w:val="30A85733"/>
    <w:rsid w:val="30AA2585"/>
    <w:rsid w:val="30C16A19"/>
    <w:rsid w:val="30C262B6"/>
    <w:rsid w:val="30CB5800"/>
    <w:rsid w:val="30D11E87"/>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0451D"/>
    <w:rsid w:val="317206BF"/>
    <w:rsid w:val="317932EA"/>
    <w:rsid w:val="317938E9"/>
    <w:rsid w:val="317E5000"/>
    <w:rsid w:val="31870868"/>
    <w:rsid w:val="31875BB4"/>
    <w:rsid w:val="31A9328B"/>
    <w:rsid w:val="31B718F2"/>
    <w:rsid w:val="31C37104"/>
    <w:rsid w:val="31C57B88"/>
    <w:rsid w:val="31D20051"/>
    <w:rsid w:val="31DC626C"/>
    <w:rsid w:val="31E745D2"/>
    <w:rsid w:val="31EF7EE8"/>
    <w:rsid w:val="3201404F"/>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B52836"/>
    <w:rsid w:val="32D53221"/>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27F65"/>
    <w:rsid w:val="33A47053"/>
    <w:rsid w:val="33AD5111"/>
    <w:rsid w:val="33B32240"/>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5862E9"/>
    <w:rsid w:val="346C4879"/>
    <w:rsid w:val="346D7DEA"/>
    <w:rsid w:val="3472234D"/>
    <w:rsid w:val="34727D99"/>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46F76"/>
    <w:rsid w:val="351A603C"/>
    <w:rsid w:val="352821F6"/>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F7E4F"/>
    <w:rsid w:val="36985297"/>
    <w:rsid w:val="369F633B"/>
    <w:rsid w:val="36A30FDB"/>
    <w:rsid w:val="36A7007C"/>
    <w:rsid w:val="36AB07EC"/>
    <w:rsid w:val="36B24AE8"/>
    <w:rsid w:val="36BD0DC4"/>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AC22DD"/>
    <w:rsid w:val="37C94031"/>
    <w:rsid w:val="37CA042E"/>
    <w:rsid w:val="37CA2635"/>
    <w:rsid w:val="37D44549"/>
    <w:rsid w:val="37D67F04"/>
    <w:rsid w:val="37D77B09"/>
    <w:rsid w:val="37D931A8"/>
    <w:rsid w:val="37D97EDE"/>
    <w:rsid w:val="37E76E34"/>
    <w:rsid w:val="37F21986"/>
    <w:rsid w:val="380632B2"/>
    <w:rsid w:val="380D02B1"/>
    <w:rsid w:val="38190834"/>
    <w:rsid w:val="381C3EB1"/>
    <w:rsid w:val="381E409C"/>
    <w:rsid w:val="382B1BDF"/>
    <w:rsid w:val="382E392C"/>
    <w:rsid w:val="38310B25"/>
    <w:rsid w:val="38321CE4"/>
    <w:rsid w:val="38325D99"/>
    <w:rsid w:val="38342E90"/>
    <w:rsid w:val="38451B7E"/>
    <w:rsid w:val="384B7332"/>
    <w:rsid w:val="384E20F8"/>
    <w:rsid w:val="385056AF"/>
    <w:rsid w:val="386A7142"/>
    <w:rsid w:val="386E0B2C"/>
    <w:rsid w:val="38706DCB"/>
    <w:rsid w:val="387E793E"/>
    <w:rsid w:val="388E5848"/>
    <w:rsid w:val="389E7B13"/>
    <w:rsid w:val="38A341A7"/>
    <w:rsid w:val="38AF6B7E"/>
    <w:rsid w:val="38BD240C"/>
    <w:rsid w:val="38BD31EE"/>
    <w:rsid w:val="38C05985"/>
    <w:rsid w:val="38C2629A"/>
    <w:rsid w:val="38C3152B"/>
    <w:rsid w:val="38C53084"/>
    <w:rsid w:val="38CB3BDF"/>
    <w:rsid w:val="38CD22F1"/>
    <w:rsid w:val="38D33D29"/>
    <w:rsid w:val="38D41CCF"/>
    <w:rsid w:val="38E40A5B"/>
    <w:rsid w:val="38E51952"/>
    <w:rsid w:val="38F16A28"/>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12D00"/>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97FEB"/>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CC4EE8"/>
    <w:rsid w:val="3FD13F50"/>
    <w:rsid w:val="3FDC5F31"/>
    <w:rsid w:val="3FE04625"/>
    <w:rsid w:val="3FE86CE8"/>
    <w:rsid w:val="3FEF3DCD"/>
    <w:rsid w:val="3FF148F7"/>
    <w:rsid w:val="3FFB0F66"/>
    <w:rsid w:val="40022F93"/>
    <w:rsid w:val="400E6DDA"/>
    <w:rsid w:val="40146E6B"/>
    <w:rsid w:val="40225B50"/>
    <w:rsid w:val="403052F1"/>
    <w:rsid w:val="40330D29"/>
    <w:rsid w:val="404469FD"/>
    <w:rsid w:val="404A2717"/>
    <w:rsid w:val="404E779F"/>
    <w:rsid w:val="4059090D"/>
    <w:rsid w:val="4065170A"/>
    <w:rsid w:val="40687776"/>
    <w:rsid w:val="406966BC"/>
    <w:rsid w:val="406C4DFB"/>
    <w:rsid w:val="406E5CAB"/>
    <w:rsid w:val="40713C35"/>
    <w:rsid w:val="408057F5"/>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64224"/>
    <w:rsid w:val="414C0B0E"/>
    <w:rsid w:val="41513BC9"/>
    <w:rsid w:val="415F5C57"/>
    <w:rsid w:val="41735B7F"/>
    <w:rsid w:val="419302E2"/>
    <w:rsid w:val="419E558F"/>
    <w:rsid w:val="419E60D3"/>
    <w:rsid w:val="41A25332"/>
    <w:rsid w:val="41A339F5"/>
    <w:rsid w:val="41A36C7E"/>
    <w:rsid w:val="41AA4A84"/>
    <w:rsid w:val="41AF06D0"/>
    <w:rsid w:val="41C45B38"/>
    <w:rsid w:val="41C93F6C"/>
    <w:rsid w:val="41D5139D"/>
    <w:rsid w:val="41D75714"/>
    <w:rsid w:val="41DD1ECE"/>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56495"/>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470CCF"/>
    <w:rsid w:val="43533E29"/>
    <w:rsid w:val="43561E16"/>
    <w:rsid w:val="435B1259"/>
    <w:rsid w:val="436263D5"/>
    <w:rsid w:val="437556C4"/>
    <w:rsid w:val="43874CD4"/>
    <w:rsid w:val="43874FE8"/>
    <w:rsid w:val="439B699F"/>
    <w:rsid w:val="439D3E18"/>
    <w:rsid w:val="439F1200"/>
    <w:rsid w:val="43A2393A"/>
    <w:rsid w:val="43A4444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B0C21"/>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56F6D"/>
    <w:rsid w:val="45C661BC"/>
    <w:rsid w:val="45CA082F"/>
    <w:rsid w:val="45CD2126"/>
    <w:rsid w:val="45CF358A"/>
    <w:rsid w:val="45DD738A"/>
    <w:rsid w:val="45E372CD"/>
    <w:rsid w:val="45FB2D6A"/>
    <w:rsid w:val="460B1EB2"/>
    <w:rsid w:val="460C5979"/>
    <w:rsid w:val="46110AB3"/>
    <w:rsid w:val="46143B66"/>
    <w:rsid w:val="4615371C"/>
    <w:rsid w:val="46214325"/>
    <w:rsid w:val="4626398E"/>
    <w:rsid w:val="463246EC"/>
    <w:rsid w:val="463425D3"/>
    <w:rsid w:val="463A3547"/>
    <w:rsid w:val="464B28C8"/>
    <w:rsid w:val="464E0973"/>
    <w:rsid w:val="46555DC3"/>
    <w:rsid w:val="46617DB2"/>
    <w:rsid w:val="46621065"/>
    <w:rsid w:val="46665198"/>
    <w:rsid w:val="46697236"/>
    <w:rsid w:val="466B3423"/>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9007F"/>
    <w:rsid w:val="498A16CD"/>
    <w:rsid w:val="498A7FB5"/>
    <w:rsid w:val="499145D9"/>
    <w:rsid w:val="49A33C27"/>
    <w:rsid w:val="49A750B5"/>
    <w:rsid w:val="49B93B41"/>
    <w:rsid w:val="49BE07DA"/>
    <w:rsid w:val="49C32414"/>
    <w:rsid w:val="49C84AA0"/>
    <w:rsid w:val="49CA7400"/>
    <w:rsid w:val="49D7694D"/>
    <w:rsid w:val="49D87799"/>
    <w:rsid w:val="49E27151"/>
    <w:rsid w:val="49F15D73"/>
    <w:rsid w:val="49F400AC"/>
    <w:rsid w:val="49F9104E"/>
    <w:rsid w:val="4A0244D3"/>
    <w:rsid w:val="4A255046"/>
    <w:rsid w:val="4A2E1525"/>
    <w:rsid w:val="4A5A756D"/>
    <w:rsid w:val="4A70010B"/>
    <w:rsid w:val="4A722B4C"/>
    <w:rsid w:val="4A785772"/>
    <w:rsid w:val="4A7A7433"/>
    <w:rsid w:val="4A842E43"/>
    <w:rsid w:val="4A886D1D"/>
    <w:rsid w:val="4A89105B"/>
    <w:rsid w:val="4A955EEB"/>
    <w:rsid w:val="4AA341CC"/>
    <w:rsid w:val="4AB21389"/>
    <w:rsid w:val="4AC13295"/>
    <w:rsid w:val="4AC31003"/>
    <w:rsid w:val="4AC40F4C"/>
    <w:rsid w:val="4AC91D29"/>
    <w:rsid w:val="4AD25F33"/>
    <w:rsid w:val="4AD72C0B"/>
    <w:rsid w:val="4AD763B8"/>
    <w:rsid w:val="4ADD641F"/>
    <w:rsid w:val="4AE072CB"/>
    <w:rsid w:val="4AE93159"/>
    <w:rsid w:val="4AED65F4"/>
    <w:rsid w:val="4AF02EA1"/>
    <w:rsid w:val="4B0428AF"/>
    <w:rsid w:val="4B174032"/>
    <w:rsid w:val="4B1C3A76"/>
    <w:rsid w:val="4B1D7328"/>
    <w:rsid w:val="4B250CF8"/>
    <w:rsid w:val="4B2873FD"/>
    <w:rsid w:val="4B3D4DE9"/>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DF5116"/>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56BAC"/>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F14C5"/>
    <w:rsid w:val="4DB9067A"/>
    <w:rsid w:val="4DC605B6"/>
    <w:rsid w:val="4DD732D2"/>
    <w:rsid w:val="4DEC0985"/>
    <w:rsid w:val="4DF323CB"/>
    <w:rsid w:val="4E000105"/>
    <w:rsid w:val="4E0538A3"/>
    <w:rsid w:val="4E0E6818"/>
    <w:rsid w:val="4E27683A"/>
    <w:rsid w:val="4E321D35"/>
    <w:rsid w:val="4E397241"/>
    <w:rsid w:val="4E3C1DE4"/>
    <w:rsid w:val="4E464E00"/>
    <w:rsid w:val="4E4B2E60"/>
    <w:rsid w:val="4E4C50A3"/>
    <w:rsid w:val="4E510698"/>
    <w:rsid w:val="4E576363"/>
    <w:rsid w:val="4E59789B"/>
    <w:rsid w:val="4E5D49B1"/>
    <w:rsid w:val="4E5F599D"/>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7D6BF7"/>
    <w:rsid w:val="4F844A99"/>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2385B"/>
    <w:rsid w:val="502B7315"/>
    <w:rsid w:val="503E570B"/>
    <w:rsid w:val="503F32CF"/>
    <w:rsid w:val="503F62FD"/>
    <w:rsid w:val="5041152A"/>
    <w:rsid w:val="504A1A7A"/>
    <w:rsid w:val="504C77D2"/>
    <w:rsid w:val="50560460"/>
    <w:rsid w:val="50601A5C"/>
    <w:rsid w:val="506E5B6B"/>
    <w:rsid w:val="507055F2"/>
    <w:rsid w:val="507E1B25"/>
    <w:rsid w:val="508E3B94"/>
    <w:rsid w:val="508E4492"/>
    <w:rsid w:val="5090223F"/>
    <w:rsid w:val="50924591"/>
    <w:rsid w:val="50943125"/>
    <w:rsid w:val="50A578DE"/>
    <w:rsid w:val="50A649F5"/>
    <w:rsid w:val="50AB5EB6"/>
    <w:rsid w:val="50AD494C"/>
    <w:rsid w:val="50AE6FE2"/>
    <w:rsid w:val="50B16618"/>
    <w:rsid w:val="50BB6306"/>
    <w:rsid w:val="50C12EDC"/>
    <w:rsid w:val="50CD2E4B"/>
    <w:rsid w:val="50D8533B"/>
    <w:rsid w:val="50DA0A9E"/>
    <w:rsid w:val="50E40C69"/>
    <w:rsid w:val="50ED21B8"/>
    <w:rsid w:val="50F31CB9"/>
    <w:rsid w:val="50F66F3D"/>
    <w:rsid w:val="50F8688B"/>
    <w:rsid w:val="50FC4E36"/>
    <w:rsid w:val="51002FFC"/>
    <w:rsid w:val="5105169B"/>
    <w:rsid w:val="51062881"/>
    <w:rsid w:val="510861B3"/>
    <w:rsid w:val="510956BD"/>
    <w:rsid w:val="5114696C"/>
    <w:rsid w:val="5121766A"/>
    <w:rsid w:val="51230220"/>
    <w:rsid w:val="513E7AC2"/>
    <w:rsid w:val="513F6CC6"/>
    <w:rsid w:val="5147175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1FC67A6"/>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3737D"/>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431D97"/>
    <w:rsid w:val="545750B7"/>
    <w:rsid w:val="545A1EBF"/>
    <w:rsid w:val="545E39AA"/>
    <w:rsid w:val="54602EAD"/>
    <w:rsid w:val="5460437B"/>
    <w:rsid w:val="54727478"/>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154160"/>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C0156"/>
    <w:rsid w:val="57FC07D9"/>
    <w:rsid w:val="57FE34EB"/>
    <w:rsid w:val="57FF6992"/>
    <w:rsid w:val="58036FF1"/>
    <w:rsid w:val="580F1B21"/>
    <w:rsid w:val="581B7E79"/>
    <w:rsid w:val="5837438C"/>
    <w:rsid w:val="58420FA1"/>
    <w:rsid w:val="58500F22"/>
    <w:rsid w:val="58587379"/>
    <w:rsid w:val="585D72B5"/>
    <w:rsid w:val="586D57A3"/>
    <w:rsid w:val="587917A0"/>
    <w:rsid w:val="587A4288"/>
    <w:rsid w:val="5880052B"/>
    <w:rsid w:val="588A19D2"/>
    <w:rsid w:val="588E3967"/>
    <w:rsid w:val="589E7444"/>
    <w:rsid w:val="58AD27D9"/>
    <w:rsid w:val="58B169A2"/>
    <w:rsid w:val="58B9636C"/>
    <w:rsid w:val="58C37133"/>
    <w:rsid w:val="58C93046"/>
    <w:rsid w:val="58D36BCB"/>
    <w:rsid w:val="58D8157C"/>
    <w:rsid w:val="58E11166"/>
    <w:rsid w:val="58E237D1"/>
    <w:rsid w:val="58E6349C"/>
    <w:rsid w:val="58E83DEC"/>
    <w:rsid w:val="58EF63EE"/>
    <w:rsid w:val="590317F0"/>
    <w:rsid w:val="59075000"/>
    <w:rsid w:val="593559FD"/>
    <w:rsid w:val="593A4D15"/>
    <w:rsid w:val="594079B2"/>
    <w:rsid w:val="595B45EE"/>
    <w:rsid w:val="595C4A81"/>
    <w:rsid w:val="596A688E"/>
    <w:rsid w:val="59860400"/>
    <w:rsid w:val="5987482A"/>
    <w:rsid w:val="598A58C2"/>
    <w:rsid w:val="598C6F19"/>
    <w:rsid w:val="599C49A8"/>
    <w:rsid w:val="59A252D5"/>
    <w:rsid w:val="59A36725"/>
    <w:rsid w:val="59AD4E2E"/>
    <w:rsid w:val="59B14918"/>
    <w:rsid w:val="59B21BF9"/>
    <w:rsid w:val="59B37D53"/>
    <w:rsid w:val="59B80C41"/>
    <w:rsid w:val="59BB4EA3"/>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46911"/>
    <w:rsid w:val="5AA75D85"/>
    <w:rsid w:val="5AB7299D"/>
    <w:rsid w:val="5ABC50F4"/>
    <w:rsid w:val="5ACC4940"/>
    <w:rsid w:val="5ACD3CD2"/>
    <w:rsid w:val="5AD7333E"/>
    <w:rsid w:val="5AD86A6D"/>
    <w:rsid w:val="5ADF4325"/>
    <w:rsid w:val="5AE8708E"/>
    <w:rsid w:val="5AEB6283"/>
    <w:rsid w:val="5AEC14F6"/>
    <w:rsid w:val="5AF124A4"/>
    <w:rsid w:val="5B0377BB"/>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A6294E"/>
    <w:rsid w:val="5CCC1DEC"/>
    <w:rsid w:val="5CD33262"/>
    <w:rsid w:val="5CDB3358"/>
    <w:rsid w:val="5CED4E0C"/>
    <w:rsid w:val="5CEE1DD1"/>
    <w:rsid w:val="5CFB31F2"/>
    <w:rsid w:val="5CFF09AB"/>
    <w:rsid w:val="5D034EE9"/>
    <w:rsid w:val="5D0366E8"/>
    <w:rsid w:val="5D08684C"/>
    <w:rsid w:val="5D0A06B6"/>
    <w:rsid w:val="5D1307E8"/>
    <w:rsid w:val="5D212A05"/>
    <w:rsid w:val="5D28584C"/>
    <w:rsid w:val="5D2F4802"/>
    <w:rsid w:val="5D2F6D85"/>
    <w:rsid w:val="5D32239D"/>
    <w:rsid w:val="5D3444E6"/>
    <w:rsid w:val="5D3543FB"/>
    <w:rsid w:val="5D3F0BDF"/>
    <w:rsid w:val="5D5B7098"/>
    <w:rsid w:val="5D5D62C9"/>
    <w:rsid w:val="5D611B66"/>
    <w:rsid w:val="5D634782"/>
    <w:rsid w:val="5D654194"/>
    <w:rsid w:val="5D65463C"/>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37029"/>
    <w:rsid w:val="5E3358BB"/>
    <w:rsid w:val="5E3A3BD1"/>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875C0C"/>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5272C3"/>
    <w:rsid w:val="626A1B4F"/>
    <w:rsid w:val="62715337"/>
    <w:rsid w:val="6280204D"/>
    <w:rsid w:val="6290769B"/>
    <w:rsid w:val="62943D08"/>
    <w:rsid w:val="629718F1"/>
    <w:rsid w:val="62A05735"/>
    <w:rsid w:val="62A411F8"/>
    <w:rsid w:val="62A81A26"/>
    <w:rsid w:val="62B0109F"/>
    <w:rsid w:val="62BA7A46"/>
    <w:rsid w:val="62C376AC"/>
    <w:rsid w:val="62CE13CB"/>
    <w:rsid w:val="62D2197B"/>
    <w:rsid w:val="62DB028F"/>
    <w:rsid w:val="62EE4623"/>
    <w:rsid w:val="62F214BD"/>
    <w:rsid w:val="62F6011A"/>
    <w:rsid w:val="62FD2BA9"/>
    <w:rsid w:val="6327422B"/>
    <w:rsid w:val="6328597C"/>
    <w:rsid w:val="633B249F"/>
    <w:rsid w:val="633D1842"/>
    <w:rsid w:val="635123F0"/>
    <w:rsid w:val="63552D76"/>
    <w:rsid w:val="6359778B"/>
    <w:rsid w:val="635B63E3"/>
    <w:rsid w:val="63677698"/>
    <w:rsid w:val="63771D13"/>
    <w:rsid w:val="638C3395"/>
    <w:rsid w:val="63B37325"/>
    <w:rsid w:val="63B82D87"/>
    <w:rsid w:val="63BA3154"/>
    <w:rsid w:val="63C509F9"/>
    <w:rsid w:val="63CA2E8B"/>
    <w:rsid w:val="63CF097D"/>
    <w:rsid w:val="63D4153E"/>
    <w:rsid w:val="63DA0FA3"/>
    <w:rsid w:val="63DC7755"/>
    <w:rsid w:val="63E43D21"/>
    <w:rsid w:val="63E774B3"/>
    <w:rsid w:val="63F47D2A"/>
    <w:rsid w:val="63F6335E"/>
    <w:rsid w:val="63FE2D33"/>
    <w:rsid w:val="64046427"/>
    <w:rsid w:val="640B5788"/>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41876"/>
    <w:rsid w:val="649B1AC2"/>
    <w:rsid w:val="649B4C1C"/>
    <w:rsid w:val="64A7467B"/>
    <w:rsid w:val="64B53322"/>
    <w:rsid w:val="64C41B57"/>
    <w:rsid w:val="64C61AF8"/>
    <w:rsid w:val="64C86505"/>
    <w:rsid w:val="64E65F95"/>
    <w:rsid w:val="64EB5728"/>
    <w:rsid w:val="64FA211B"/>
    <w:rsid w:val="64FB4412"/>
    <w:rsid w:val="64FE700F"/>
    <w:rsid w:val="6500327F"/>
    <w:rsid w:val="6503698F"/>
    <w:rsid w:val="6506609B"/>
    <w:rsid w:val="65083216"/>
    <w:rsid w:val="650A57D3"/>
    <w:rsid w:val="65460728"/>
    <w:rsid w:val="654835A8"/>
    <w:rsid w:val="654C7056"/>
    <w:rsid w:val="655522F1"/>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3FB2"/>
    <w:rsid w:val="66705094"/>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70C6D27"/>
    <w:rsid w:val="670D67CE"/>
    <w:rsid w:val="67105BAB"/>
    <w:rsid w:val="6716676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B837C7"/>
    <w:rsid w:val="67CF3BE0"/>
    <w:rsid w:val="67D1123C"/>
    <w:rsid w:val="67DE0B68"/>
    <w:rsid w:val="67F45538"/>
    <w:rsid w:val="67F67092"/>
    <w:rsid w:val="68005932"/>
    <w:rsid w:val="680239EB"/>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46FE6"/>
    <w:rsid w:val="68D507C6"/>
    <w:rsid w:val="68E24981"/>
    <w:rsid w:val="68E62C62"/>
    <w:rsid w:val="68ED60A5"/>
    <w:rsid w:val="68F72C97"/>
    <w:rsid w:val="69123F86"/>
    <w:rsid w:val="691C1D81"/>
    <w:rsid w:val="691C3525"/>
    <w:rsid w:val="691C4B46"/>
    <w:rsid w:val="69216128"/>
    <w:rsid w:val="69250799"/>
    <w:rsid w:val="69280874"/>
    <w:rsid w:val="692E74C3"/>
    <w:rsid w:val="69307671"/>
    <w:rsid w:val="695D6B21"/>
    <w:rsid w:val="69611EE7"/>
    <w:rsid w:val="69621F5B"/>
    <w:rsid w:val="696C708E"/>
    <w:rsid w:val="696F4D5D"/>
    <w:rsid w:val="69850877"/>
    <w:rsid w:val="698C13C5"/>
    <w:rsid w:val="69C12919"/>
    <w:rsid w:val="69EB1E1E"/>
    <w:rsid w:val="69F0745A"/>
    <w:rsid w:val="6A0D20F2"/>
    <w:rsid w:val="6A1757B7"/>
    <w:rsid w:val="6A1A2066"/>
    <w:rsid w:val="6A1D59EC"/>
    <w:rsid w:val="6A247F72"/>
    <w:rsid w:val="6A2D18C6"/>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D44D6B"/>
    <w:rsid w:val="6AE4699C"/>
    <w:rsid w:val="6AED1BE8"/>
    <w:rsid w:val="6AF00853"/>
    <w:rsid w:val="6AF317C6"/>
    <w:rsid w:val="6B004C6B"/>
    <w:rsid w:val="6B09696B"/>
    <w:rsid w:val="6B1C13C3"/>
    <w:rsid w:val="6B2B0EFD"/>
    <w:rsid w:val="6B2C13E4"/>
    <w:rsid w:val="6B2D2EEB"/>
    <w:rsid w:val="6B322952"/>
    <w:rsid w:val="6B410613"/>
    <w:rsid w:val="6B4831F4"/>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30AB3"/>
    <w:rsid w:val="6CB71894"/>
    <w:rsid w:val="6CB91201"/>
    <w:rsid w:val="6CC13ACE"/>
    <w:rsid w:val="6CD63FB3"/>
    <w:rsid w:val="6CD73CDB"/>
    <w:rsid w:val="6CD91323"/>
    <w:rsid w:val="6CFE035F"/>
    <w:rsid w:val="6D056EA6"/>
    <w:rsid w:val="6D0A5C1E"/>
    <w:rsid w:val="6D1766A9"/>
    <w:rsid w:val="6D19067C"/>
    <w:rsid w:val="6D1F423E"/>
    <w:rsid w:val="6D221E52"/>
    <w:rsid w:val="6D227835"/>
    <w:rsid w:val="6D231354"/>
    <w:rsid w:val="6D2834C8"/>
    <w:rsid w:val="6D2F1F0B"/>
    <w:rsid w:val="6D343A12"/>
    <w:rsid w:val="6D3C6626"/>
    <w:rsid w:val="6D5D0DB5"/>
    <w:rsid w:val="6D6855B1"/>
    <w:rsid w:val="6D6C3E59"/>
    <w:rsid w:val="6D6C5D15"/>
    <w:rsid w:val="6D7157A1"/>
    <w:rsid w:val="6D7B4AB7"/>
    <w:rsid w:val="6D836C02"/>
    <w:rsid w:val="6D89784B"/>
    <w:rsid w:val="6D8C7F73"/>
    <w:rsid w:val="6D9057BE"/>
    <w:rsid w:val="6D9E0566"/>
    <w:rsid w:val="6DBE7F27"/>
    <w:rsid w:val="6DC262E7"/>
    <w:rsid w:val="6DD70DD8"/>
    <w:rsid w:val="6DDD15C6"/>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74ED8"/>
    <w:rsid w:val="6E7D300B"/>
    <w:rsid w:val="6E823708"/>
    <w:rsid w:val="6E8A3EFB"/>
    <w:rsid w:val="6E8F4433"/>
    <w:rsid w:val="6E920B5B"/>
    <w:rsid w:val="6E990B16"/>
    <w:rsid w:val="6E995AB6"/>
    <w:rsid w:val="6EA80CC5"/>
    <w:rsid w:val="6EAD267A"/>
    <w:rsid w:val="6EB169D3"/>
    <w:rsid w:val="6EB21539"/>
    <w:rsid w:val="6EB829B1"/>
    <w:rsid w:val="6EB978A9"/>
    <w:rsid w:val="6ECC3A24"/>
    <w:rsid w:val="6ED86D3E"/>
    <w:rsid w:val="6EE9744F"/>
    <w:rsid w:val="6EEC3F7C"/>
    <w:rsid w:val="6EF3602C"/>
    <w:rsid w:val="6EF65A2C"/>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33576"/>
    <w:rsid w:val="6F9A3007"/>
    <w:rsid w:val="6FA629D4"/>
    <w:rsid w:val="6FA75ADB"/>
    <w:rsid w:val="6FB77ED4"/>
    <w:rsid w:val="6FBD3BBF"/>
    <w:rsid w:val="6FBD4D2F"/>
    <w:rsid w:val="6FBF4710"/>
    <w:rsid w:val="6FC9109F"/>
    <w:rsid w:val="6FCC6779"/>
    <w:rsid w:val="6FDB518F"/>
    <w:rsid w:val="6FE529ED"/>
    <w:rsid w:val="6FF733A7"/>
    <w:rsid w:val="70003DD9"/>
    <w:rsid w:val="70072915"/>
    <w:rsid w:val="70172090"/>
    <w:rsid w:val="70195E88"/>
    <w:rsid w:val="701D43BA"/>
    <w:rsid w:val="70216162"/>
    <w:rsid w:val="70291C03"/>
    <w:rsid w:val="702B6F43"/>
    <w:rsid w:val="7032079E"/>
    <w:rsid w:val="703C186A"/>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EB2BCE"/>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9621B"/>
    <w:rsid w:val="716F00B2"/>
    <w:rsid w:val="71702748"/>
    <w:rsid w:val="71867894"/>
    <w:rsid w:val="718E3AA9"/>
    <w:rsid w:val="71920F6D"/>
    <w:rsid w:val="7196106A"/>
    <w:rsid w:val="719E0160"/>
    <w:rsid w:val="719F7A78"/>
    <w:rsid w:val="71A03079"/>
    <w:rsid w:val="71AD22C0"/>
    <w:rsid w:val="71B623F6"/>
    <w:rsid w:val="71B649D8"/>
    <w:rsid w:val="71B84778"/>
    <w:rsid w:val="71C17B7E"/>
    <w:rsid w:val="71C7540C"/>
    <w:rsid w:val="71E857A5"/>
    <w:rsid w:val="71EF5B86"/>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0C43E5"/>
    <w:rsid w:val="7317244F"/>
    <w:rsid w:val="732070DA"/>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CC6B2A"/>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DA3F44"/>
    <w:rsid w:val="74E427B4"/>
    <w:rsid w:val="74E4756E"/>
    <w:rsid w:val="74ED19FF"/>
    <w:rsid w:val="75084E8F"/>
    <w:rsid w:val="7509261E"/>
    <w:rsid w:val="75096690"/>
    <w:rsid w:val="75202656"/>
    <w:rsid w:val="752231CE"/>
    <w:rsid w:val="75276DE2"/>
    <w:rsid w:val="753F3D3B"/>
    <w:rsid w:val="754723D0"/>
    <w:rsid w:val="75482D09"/>
    <w:rsid w:val="75633812"/>
    <w:rsid w:val="756F29D2"/>
    <w:rsid w:val="75752B04"/>
    <w:rsid w:val="758849E0"/>
    <w:rsid w:val="758910BB"/>
    <w:rsid w:val="75920C70"/>
    <w:rsid w:val="75955DA9"/>
    <w:rsid w:val="759571EF"/>
    <w:rsid w:val="759601E2"/>
    <w:rsid w:val="75977910"/>
    <w:rsid w:val="759B0114"/>
    <w:rsid w:val="759F2A35"/>
    <w:rsid w:val="75A03045"/>
    <w:rsid w:val="75AD4ED0"/>
    <w:rsid w:val="75B15C41"/>
    <w:rsid w:val="75CC5191"/>
    <w:rsid w:val="75CC694A"/>
    <w:rsid w:val="75D12923"/>
    <w:rsid w:val="75D173F4"/>
    <w:rsid w:val="75EA364B"/>
    <w:rsid w:val="75F20996"/>
    <w:rsid w:val="75F65644"/>
    <w:rsid w:val="75F96973"/>
    <w:rsid w:val="76035FE9"/>
    <w:rsid w:val="760A4340"/>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03F2E"/>
    <w:rsid w:val="77240552"/>
    <w:rsid w:val="77272CAB"/>
    <w:rsid w:val="772B4341"/>
    <w:rsid w:val="7731599F"/>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15B58"/>
    <w:rsid w:val="7854087B"/>
    <w:rsid w:val="78615F4B"/>
    <w:rsid w:val="786A4053"/>
    <w:rsid w:val="78717849"/>
    <w:rsid w:val="78782A0D"/>
    <w:rsid w:val="78785A2F"/>
    <w:rsid w:val="787B5060"/>
    <w:rsid w:val="788720E7"/>
    <w:rsid w:val="78A90B04"/>
    <w:rsid w:val="78B0552C"/>
    <w:rsid w:val="78C34D95"/>
    <w:rsid w:val="78C53485"/>
    <w:rsid w:val="78C6693F"/>
    <w:rsid w:val="78C76A01"/>
    <w:rsid w:val="78C9386A"/>
    <w:rsid w:val="78DA30DC"/>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71D37"/>
    <w:rsid w:val="794B21A1"/>
    <w:rsid w:val="7964574A"/>
    <w:rsid w:val="79804706"/>
    <w:rsid w:val="79835FC2"/>
    <w:rsid w:val="79840597"/>
    <w:rsid w:val="79941CF2"/>
    <w:rsid w:val="79973382"/>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0E7446"/>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A485C"/>
    <w:rsid w:val="7BAD1591"/>
    <w:rsid w:val="7BCD64C2"/>
    <w:rsid w:val="7BD3716B"/>
    <w:rsid w:val="7BEC2711"/>
    <w:rsid w:val="7BF55850"/>
    <w:rsid w:val="7C1054B7"/>
    <w:rsid w:val="7C131E53"/>
    <w:rsid w:val="7C261982"/>
    <w:rsid w:val="7C26369C"/>
    <w:rsid w:val="7C284F94"/>
    <w:rsid w:val="7C2A465C"/>
    <w:rsid w:val="7C2E06D8"/>
    <w:rsid w:val="7C305879"/>
    <w:rsid w:val="7C34521A"/>
    <w:rsid w:val="7C4067F6"/>
    <w:rsid w:val="7C417F31"/>
    <w:rsid w:val="7C4674BA"/>
    <w:rsid w:val="7C4A2BD1"/>
    <w:rsid w:val="7C4C0053"/>
    <w:rsid w:val="7C576C70"/>
    <w:rsid w:val="7C6E4349"/>
    <w:rsid w:val="7C77043F"/>
    <w:rsid w:val="7C8379D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3E0FEC"/>
    <w:rsid w:val="7E3E1EF2"/>
    <w:rsid w:val="7E3E58B5"/>
    <w:rsid w:val="7E4401AF"/>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5E7C"/>
    <w:rsid w:val="7F761ADC"/>
    <w:rsid w:val="7F7D7A8E"/>
    <w:rsid w:val="7F872588"/>
    <w:rsid w:val="7F8725BA"/>
    <w:rsid w:val="7F8C6A8F"/>
    <w:rsid w:val="7F994DB5"/>
    <w:rsid w:val="7F9C175D"/>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23</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2025-02-07T07:58:18Z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2B4F89433A2B423197B6EF55637CF1DB</vt:lpwstr>
  </property>
</Properties>
</file>